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3B7" w:rsidRPr="0061020E" w:rsidRDefault="00BA33B7" w:rsidP="008F6018">
      <w:pPr>
        <w:spacing w:after="120" w:line="240" w:lineRule="auto"/>
        <w:jc w:val="both"/>
        <w:rPr>
          <w:rFonts w:ascii="Rockwell" w:hAnsi="Rockwell"/>
          <w:caps/>
          <w:color w:val="999999"/>
          <w:sz w:val="24"/>
          <w:szCs w:val="24"/>
        </w:rPr>
      </w:pPr>
    </w:p>
    <w:p w:rsidR="00BA33B7" w:rsidRPr="0061020E" w:rsidRDefault="001C5251" w:rsidP="008F6018">
      <w:pPr>
        <w:pStyle w:val="Notedebasdepage"/>
        <w:spacing w:line="240" w:lineRule="auto"/>
        <w:rPr>
          <w:rFonts w:ascii="Rockwell" w:hAnsi="Rockwell" w:cs="Arial"/>
          <w:sz w:val="24"/>
          <w:szCs w:val="24"/>
        </w:rPr>
      </w:pPr>
      <w:r>
        <w:rPr>
          <w:rFonts w:ascii="Rockwell" w:hAnsi="Rockwell" w:cs="Arial"/>
          <w:noProof/>
          <w:sz w:val="24"/>
          <w:szCs w:val="24"/>
        </w:rPr>
        <w:drawing>
          <wp:inline distT="0" distB="0" distL="0" distR="0">
            <wp:extent cx="5976620" cy="8272397"/>
            <wp:effectExtent l="0" t="0" r="508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6620" cy="8272397"/>
                    </a:xfrm>
                    <a:prstGeom prst="rect">
                      <a:avLst/>
                    </a:prstGeom>
                    <a:noFill/>
                    <a:ln>
                      <a:noFill/>
                    </a:ln>
                  </pic:spPr>
                </pic:pic>
              </a:graphicData>
            </a:graphic>
          </wp:inline>
        </w:drawing>
      </w:r>
    </w:p>
    <w:p w:rsidR="00BA33B7" w:rsidRPr="0061020E" w:rsidRDefault="001C5251" w:rsidP="008F6018">
      <w:pPr>
        <w:pStyle w:val="Notedebasdepage"/>
        <w:spacing w:line="240" w:lineRule="auto"/>
        <w:rPr>
          <w:rFonts w:ascii="Rockwell" w:hAnsi="Rockwell" w:cs="Arial"/>
          <w:sz w:val="24"/>
          <w:szCs w:val="24"/>
        </w:rPr>
      </w:pPr>
      <w:r>
        <w:rPr>
          <w:rFonts w:ascii="Rockwell" w:hAnsi="Rockwell" w:cs="Arial"/>
          <w:noProof/>
          <w:sz w:val="24"/>
          <w:szCs w:val="24"/>
        </w:rPr>
        <w:lastRenderedPageBreak/>
        <w:drawing>
          <wp:inline distT="0" distB="0" distL="0" distR="0">
            <wp:extent cx="5976620" cy="8302425"/>
            <wp:effectExtent l="0" t="0" r="508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6620" cy="8302425"/>
                    </a:xfrm>
                    <a:prstGeom prst="rect">
                      <a:avLst/>
                    </a:prstGeom>
                    <a:noFill/>
                    <a:ln>
                      <a:noFill/>
                    </a:ln>
                  </pic:spPr>
                </pic:pic>
              </a:graphicData>
            </a:graphic>
          </wp:inline>
        </w:drawing>
      </w:r>
    </w:p>
    <w:p w:rsidR="00BA33B7" w:rsidRPr="0061020E" w:rsidRDefault="00BA33B7" w:rsidP="008F6018">
      <w:pPr>
        <w:pStyle w:val="Notedebasdepage"/>
        <w:spacing w:line="240" w:lineRule="auto"/>
        <w:rPr>
          <w:rFonts w:ascii="Rockwell" w:hAnsi="Rockwell" w:cs="Arial"/>
          <w:sz w:val="24"/>
          <w:szCs w:val="24"/>
        </w:rPr>
      </w:pPr>
    </w:p>
    <w:p w:rsidR="00BA33B7" w:rsidRPr="0061020E" w:rsidRDefault="00BA33B7" w:rsidP="008F6018">
      <w:pPr>
        <w:pStyle w:val="Notedebasdepage"/>
        <w:spacing w:line="240" w:lineRule="auto"/>
        <w:rPr>
          <w:rFonts w:ascii="Rockwell" w:hAnsi="Rockwell" w:cs="Arial"/>
          <w:sz w:val="24"/>
          <w:szCs w:val="24"/>
        </w:rPr>
      </w:pPr>
    </w:p>
    <w:p w:rsidR="00BA33B7" w:rsidRPr="0061020E" w:rsidRDefault="00BA33B7" w:rsidP="008F6018">
      <w:pPr>
        <w:pStyle w:val="Notedebasdepage"/>
        <w:spacing w:line="240" w:lineRule="auto"/>
        <w:rPr>
          <w:rFonts w:ascii="Rockwell" w:hAnsi="Rockwell" w:cs="Arial"/>
          <w:sz w:val="24"/>
          <w:szCs w:val="24"/>
        </w:rPr>
      </w:pPr>
    </w:p>
    <w:p w:rsidR="00BA33B7" w:rsidRDefault="00BA33B7" w:rsidP="008F6018">
      <w:pPr>
        <w:pStyle w:val="Notedebasdepage"/>
        <w:spacing w:line="240" w:lineRule="auto"/>
        <w:rPr>
          <w:rFonts w:ascii="Rockwell" w:hAnsi="Rockwell" w:cs="Arial"/>
          <w:sz w:val="24"/>
          <w:szCs w:val="24"/>
        </w:rPr>
      </w:pPr>
    </w:p>
    <w:p w:rsidR="008F2A77" w:rsidRPr="0061020E" w:rsidRDefault="008F2A77" w:rsidP="008F6018">
      <w:pPr>
        <w:pStyle w:val="Notedebasdepage"/>
        <w:spacing w:line="240" w:lineRule="auto"/>
        <w:rPr>
          <w:rFonts w:ascii="Rockwell" w:hAnsi="Rockwell" w:cs="Arial"/>
          <w:sz w:val="24"/>
          <w:szCs w:val="24"/>
        </w:rPr>
      </w:pPr>
    </w:p>
    <w:tbl>
      <w:tblPr>
        <w:tblpPr w:leftFromText="141" w:rightFromText="141" w:vertAnchor="page" w:horzAnchor="margin" w:tblpY="970"/>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1C5251" w:rsidRPr="00BB6078" w:rsidTr="001C5251">
        <w:trPr>
          <w:trHeight w:val="1695"/>
        </w:trPr>
        <w:tc>
          <w:tcPr>
            <w:tcW w:w="3962" w:type="dxa"/>
          </w:tcPr>
          <w:p w:rsidR="001C5251" w:rsidRPr="00BB6078" w:rsidRDefault="001C5251" w:rsidP="001C5251">
            <w:pPr>
              <w:spacing w:after="120" w:line="240" w:lineRule="auto"/>
              <w:contextualSpacing/>
              <w:jc w:val="center"/>
              <w:rPr>
                <w:rFonts w:ascii="Rockwell" w:hAnsi="Rockwell"/>
                <w:b/>
                <w:sz w:val="23"/>
                <w:szCs w:val="23"/>
              </w:rPr>
            </w:pPr>
            <w:r w:rsidRPr="00BB6078">
              <w:rPr>
                <w:sz w:val="23"/>
                <w:szCs w:val="23"/>
              </w:rPr>
              <w:lastRenderedPageBreak/>
              <w:br w:type="page"/>
            </w:r>
            <w:r w:rsidRPr="00BB6078">
              <w:rPr>
                <w:rFonts w:ascii="Rockwell" w:hAnsi="Rockwell"/>
                <w:b/>
                <w:sz w:val="23"/>
                <w:szCs w:val="23"/>
              </w:rPr>
              <w:t>AUTORITE DE REGULATION</w:t>
            </w:r>
          </w:p>
          <w:p w:rsidR="001C5251" w:rsidRPr="00BB6078" w:rsidRDefault="001C5251" w:rsidP="001C5251">
            <w:pPr>
              <w:spacing w:after="120" w:line="240" w:lineRule="auto"/>
              <w:contextualSpacing/>
              <w:jc w:val="center"/>
              <w:rPr>
                <w:rFonts w:ascii="Rockwell" w:hAnsi="Rockwell"/>
                <w:b/>
                <w:sz w:val="23"/>
                <w:szCs w:val="23"/>
              </w:rPr>
            </w:pPr>
            <w:r w:rsidRPr="00BB6078">
              <w:rPr>
                <w:rFonts w:ascii="Rockwell" w:hAnsi="Rockwell"/>
                <w:b/>
                <w:sz w:val="23"/>
                <w:szCs w:val="23"/>
              </w:rPr>
              <w:t>DE</w:t>
            </w:r>
            <w:r>
              <w:rPr>
                <w:rFonts w:ascii="Rockwell" w:hAnsi="Rockwell"/>
                <w:b/>
                <w:sz w:val="23"/>
                <w:szCs w:val="23"/>
              </w:rPr>
              <w:t xml:space="preserve"> LA COMMANDE</w:t>
            </w:r>
            <w:r w:rsidRPr="00BB6078">
              <w:rPr>
                <w:rFonts w:ascii="Rockwell" w:hAnsi="Rockwell"/>
                <w:b/>
                <w:sz w:val="23"/>
                <w:szCs w:val="23"/>
              </w:rPr>
              <w:t xml:space="preserve"> PUBLI</w:t>
            </w:r>
            <w:r>
              <w:rPr>
                <w:rFonts w:ascii="Rockwell" w:hAnsi="Rockwell"/>
                <w:b/>
                <w:sz w:val="23"/>
                <w:szCs w:val="23"/>
              </w:rPr>
              <w:t>QUE</w:t>
            </w:r>
          </w:p>
          <w:p w:rsidR="001C5251" w:rsidRPr="00BB6078" w:rsidRDefault="001C5251" w:rsidP="001C5251">
            <w:pPr>
              <w:spacing w:after="120" w:line="240" w:lineRule="auto"/>
              <w:contextualSpacing/>
              <w:jc w:val="center"/>
              <w:rPr>
                <w:rFonts w:ascii="Rockwell" w:hAnsi="Rockwell"/>
                <w:b/>
                <w:sz w:val="23"/>
                <w:szCs w:val="23"/>
              </w:rPr>
            </w:pPr>
            <w:r>
              <w:rPr>
                <w:rFonts w:ascii="Rockwell" w:hAnsi="Rockwell"/>
                <w:b/>
                <w:sz w:val="23"/>
                <w:szCs w:val="23"/>
              </w:rPr>
              <w:t>----------------</w:t>
            </w:r>
          </w:p>
          <w:p w:rsidR="001C5251" w:rsidRPr="00BB6078" w:rsidRDefault="001C5251" w:rsidP="001C5251">
            <w:pPr>
              <w:spacing w:after="120" w:line="240" w:lineRule="auto"/>
              <w:contextualSpacing/>
              <w:jc w:val="center"/>
              <w:rPr>
                <w:sz w:val="23"/>
                <w:szCs w:val="23"/>
              </w:rPr>
            </w:pPr>
            <w:r w:rsidRPr="00BB6078">
              <w:rPr>
                <w:rFonts w:ascii="Rockwell" w:hAnsi="Rockwell"/>
                <w:b/>
                <w:sz w:val="23"/>
                <w:szCs w:val="23"/>
              </w:rPr>
              <w:t>SECRETARIAT PERMANENT</w:t>
            </w:r>
          </w:p>
        </w:tc>
        <w:tc>
          <w:tcPr>
            <w:tcW w:w="2487" w:type="dxa"/>
          </w:tcPr>
          <w:p w:rsidR="001C5251" w:rsidRPr="00BB6078" w:rsidRDefault="001C5251" w:rsidP="001C5251">
            <w:pPr>
              <w:spacing w:after="120" w:line="240" w:lineRule="auto"/>
              <w:contextualSpacing/>
              <w:jc w:val="both"/>
              <w:rPr>
                <w:bCs/>
                <w:sz w:val="23"/>
                <w:szCs w:val="23"/>
                <w:lang w:val="nn-NO"/>
              </w:rPr>
            </w:pPr>
            <w:r w:rsidRPr="00F5247D">
              <w:rPr>
                <w:noProof/>
                <w:sz w:val="24"/>
                <w:szCs w:val="24"/>
                <w:lang w:eastAsia="fr-FR"/>
              </w:rPr>
              <w:drawing>
                <wp:inline distT="0" distB="0" distL="0" distR="0" wp14:anchorId="0C3C1F7C" wp14:editId="79909C9A">
                  <wp:extent cx="1512000" cy="1072737"/>
                  <wp:effectExtent l="0" t="0" r="0" b="0"/>
                  <wp:docPr id="2" name="Image 2" descr="C:\Users\user\Desktop\LOGO ARCO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GO ARCOP-0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518" t="10345" r="16962" b="16928"/>
                          <a:stretch/>
                        </pic:blipFill>
                        <pic:spPr bwMode="auto">
                          <a:xfrm>
                            <a:off x="0" y="0"/>
                            <a:ext cx="1512000" cy="107273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02" w:type="dxa"/>
          </w:tcPr>
          <w:p w:rsidR="001C5251" w:rsidRPr="00BB6078" w:rsidRDefault="001C5251" w:rsidP="001C5251">
            <w:pPr>
              <w:spacing w:after="120" w:line="240" w:lineRule="auto"/>
              <w:contextualSpacing/>
              <w:jc w:val="center"/>
              <w:rPr>
                <w:rFonts w:ascii="Rockwell" w:hAnsi="Rockwell"/>
                <w:b/>
                <w:bCs/>
                <w:sz w:val="23"/>
                <w:szCs w:val="23"/>
                <w:lang w:val="nn-NO"/>
              </w:rPr>
            </w:pPr>
            <w:r w:rsidRPr="00BB6078">
              <w:rPr>
                <w:rFonts w:ascii="Rockwell" w:hAnsi="Rockwell"/>
                <w:b/>
                <w:bCs/>
                <w:sz w:val="23"/>
                <w:szCs w:val="23"/>
                <w:lang w:val="nn-NO"/>
              </w:rPr>
              <w:t>BURKINA FASO</w:t>
            </w:r>
          </w:p>
          <w:p w:rsidR="001C5251" w:rsidRPr="00BB6078" w:rsidRDefault="001C5251" w:rsidP="001C5251">
            <w:pPr>
              <w:spacing w:after="120" w:line="240" w:lineRule="auto"/>
              <w:contextualSpacing/>
              <w:jc w:val="center"/>
              <w:rPr>
                <w:rFonts w:ascii="Monotype Corsiva" w:eastAsiaTheme="majorEastAsia" w:hAnsi="Monotype Corsiva" w:cstheme="majorBidi"/>
                <w:i/>
                <w:iCs/>
                <w:sz w:val="28"/>
                <w:szCs w:val="28"/>
              </w:rPr>
            </w:pPr>
            <w:r w:rsidRPr="00BB6078">
              <w:rPr>
                <w:rFonts w:ascii="Monotype Corsiva" w:eastAsiaTheme="majorEastAsia" w:hAnsi="Monotype Corsiva" w:cstheme="majorBidi"/>
                <w:i/>
                <w:iCs/>
                <w:sz w:val="28"/>
                <w:szCs w:val="28"/>
              </w:rPr>
              <w:t>Unité – Progrès – Justice</w:t>
            </w:r>
          </w:p>
          <w:p w:rsidR="001C5251" w:rsidRPr="00BB6078" w:rsidRDefault="001C5251" w:rsidP="001C5251">
            <w:pPr>
              <w:spacing w:after="120" w:line="240" w:lineRule="auto"/>
              <w:contextualSpacing/>
              <w:jc w:val="both"/>
              <w:rPr>
                <w:rFonts w:ascii="Monotype Corsiva" w:eastAsiaTheme="majorEastAsia" w:hAnsi="Monotype Corsiva" w:cstheme="majorBidi"/>
                <w:i/>
                <w:iCs/>
                <w:sz w:val="23"/>
                <w:szCs w:val="23"/>
              </w:rPr>
            </w:pPr>
          </w:p>
          <w:p w:rsidR="001C5251" w:rsidRPr="00BB6078" w:rsidRDefault="001C5251" w:rsidP="001C5251">
            <w:pPr>
              <w:spacing w:after="120" w:line="240" w:lineRule="auto"/>
              <w:contextualSpacing/>
              <w:jc w:val="both"/>
              <w:rPr>
                <w:rFonts w:ascii="Magneto" w:hAnsi="Magneto"/>
                <w:bCs/>
                <w:sz w:val="23"/>
                <w:szCs w:val="23"/>
                <w:lang w:val="nn-NO"/>
              </w:rPr>
            </w:pPr>
          </w:p>
        </w:tc>
      </w:tr>
    </w:tbl>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BA33B7" w:rsidRPr="0061020E" w:rsidRDefault="00BA33B7" w:rsidP="00B35B51">
      <w:pPr>
        <w:pBdr>
          <w:top w:val="single" w:sz="18" w:space="1" w:color="000000" w:shadow="1"/>
          <w:left w:val="single" w:sz="18" w:space="0" w:color="000000" w:shadow="1"/>
          <w:bottom w:val="single" w:sz="18" w:space="1" w:color="000000" w:shadow="1"/>
          <w:right w:val="single" w:sz="18" w:space="0" w:color="000000" w:shadow="1"/>
        </w:pBdr>
        <w:spacing w:after="120" w:line="240" w:lineRule="auto"/>
        <w:ind w:right="70"/>
        <w:jc w:val="both"/>
        <w:rPr>
          <w:rFonts w:ascii="Rockwell" w:hAnsi="Rockwell" w:cs="Arial"/>
          <w:b/>
          <w:smallCaps/>
          <w:sz w:val="24"/>
          <w:szCs w:val="24"/>
        </w:rPr>
      </w:pPr>
    </w:p>
    <w:p w:rsidR="00B35B51" w:rsidRDefault="00BA33B7" w:rsidP="00B35B51">
      <w:pPr>
        <w:pBdr>
          <w:top w:val="single" w:sz="18" w:space="1" w:color="000000" w:shadow="1"/>
          <w:left w:val="single" w:sz="18" w:space="0" w:color="000000" w:shadow="1"/>
          <w:bottom w:val="single" w:sz="18" w:space="1" w:color="000000" w:shadow="1"/>
          <w:right w:val="single" w:sz="18" w:space="0" w:color="000000" w:shadow="1"/>
        </w:pBdr>
        <w:spacing w:after="120" w:line="240" w:lineRule="auto"/>
        <w:ind w:right="70"/>
        <w:jc w:val="center"/>
        <w:rPr>
          <w:rFonts w:ascii="Rockwell" w:hAnsi="Rockwell" w:cs="Arial"/>
          <w:b/>
          <w:smallCaps/>
          <w:color w:val="FF0000"/>
          <w:sz w:val="24"/>
          <w:szCs w:val="24"/>
        </w:rPr>
      </w:pPr>
      <w:r w:rsidRPr="0061020E">
        <w:rPr>
          <w:rFonts w:ascii="Rockwell" w:hAnsi="Rockwell" w:cs="Arial"/>
          <w:b/>
          <w:smallCaps/>
          <w:color w:val="FF0000"/>
          <w:sz w:val="24"/>
          <w:szCs w:val="24"/>
        </w:rPr>
        <w:t>GUIDE D’UTILISATION DES NORMES QUALITE EN MATIERE</w:t>
      </w:r>
    </w:p>
    <w:p w:rsidR="00BA33B7" w:rsidRPr="0061020E" w:rsidRDefault="00BA33B7" w:rsidP="00B35B51">
      <w:pPr>
        <w:pBdr>
          <w:top w:val="single" w:sz="18" w:space="1" w:color="000000" w:shadow="1"/>
          <w:left w:val="single" w:sz="18" w:space="0" w:color="000000" w:shadow="1"/>
          <w:bottom w:val="single" w:sz="18" w:space="1" w:color="000000" w:shadow="1"/>
          <w:right w:val="single" w:sz="18" w:space="0" w:color="000000" w:shadow="1"/>
        </w:pBdr>
        <w:spacing w:after="120" w:line="240" w:lineRule="auto"/>
        <w:ind w:right="70"/>
        <w:jc w:val="center"/>
        <w:rPr>
          <w:rFonts w:ascii="Rockwell" w:hAnsi="Rockwell" w:cs="Arial"/>
          <w:b/>
          <w:smallCaps/>
          <w:color w:val="FF0000"/>
          <w:sz w:val="24"/>
          <w:szCs w:val="24"/>
        </w:rPr>
      </w:pPr>
      <w:r w:rsidRPr="0061020E">
        <w:rPr>
          <w:rFonts w:ascii="Rockwell" w:hAnsi="Rockwell" w:cs="Arial"/>
          <w:b/>
          <w:smallCaps/>
          <w:color w:val="FF0000"/>
          <w:sz w:val="24"/>
          <w:szCs w:val="24"/>
        </w:rPr>
        <w:t>DE COMMANDE PUBLIQUE AU BURKINA FASO</w:t>
      </w:r>
    </w:p>
    <w:p w:rsidR="00BA33B7" w:rsidRPr="0061020E" w:rsidRDefault="00BA33B7" w:rsidP="00B35B51">
      <w:pPr>
        <w:pBdr>
          <w:top w:val="single" w:sz="18" w:space="1" w:color="000000" w:shadow="1"/>
          <w:left w:val="single" w:sz="18" w:space="0" w:color="000000" w:shadow="1"/>
          <w:bottom w:val="single" w:sz="18" w:space="1" w:color="000000" w:shadow="1"/>
          <w:right w:val="single" w:sz="18" w:space="0" w:color="000000" w:shadow="1"/>
        </w:pBdr>
        <w:spacing w:after="120" w:line="240" w:lineRule="auto"/>
        <w:ind w:right="70"/>
        <w:jc w:val="both"/>
        <w:rPr>
          <w:rFonts w:ascii="Rockwell" w:hAnsi="Rockwell" w:cs="Arial"/>
          <w:b/>
          <w:smallCaps/>
          <w:sz w:val="24"/>
          <w:szCs w:val="24"/>
        </w:rPr>
      </w:pPr>
    </w:p>
    <w:p w:rsidR="00BF763A" w:rsidRPr="0061020E" w:rsidRDefault="00BF763A" w:rsidP="008F6018">
      <w:pPr>
        <w:pStyle w:val="Notedebasdepage"/>
        <w:spacing w:line="240" w:lineRule="auto"/>
        <w:rPr>
          <w:rFonts w:ascii="Rockwell" w:hAnsi="Rockwell" w:cs="Arial"/>
          <w:sz w:val="24"/>
          <w:szCs w:val="24"/>
        </w:rPr>
      </w:pPr>
    </w:p>
    <w:p w:rsidR="00BF763A" w:rsidRPr="0061020E" w:rsidRDefault="00BF763A" w:rsidP="008F6018">
      <w:pPr>
        <w:pStyle w:val="Notedebasdepage"/>
        <w:spacing w:line="240" w:lineRule="auto"/>
        <w:rPr>
          <w:rFonts w:ascii="Rockwell" w:hAnsi="Rockwell" w:cs="Arial"/>
          <w:sz w:val="24"/>
          <w:szCs w:val="24"/>
        </w:rPr>
      </w:pPr>
    </w:p>
    <w:p w:rsidR="00BF763A" w:rsidRDefault="00BF763A" w:rsidP="008F6018">
      <w:pPr>
        <w:pStyle w:val="Notedebasdepage"/>
        <w:spacing w:line="240" w:lineRule="auto"/>
        <w:rPr>
          <w:rFonts w:ascii="Rockwell" w:hAnsi="Rockwell" w:cs="Arial"/>
          <w:sz w:val="24"/>
          <w:szCs w:val="24"/>
        </w:rPr>
      </w:pPr>
    </w:p>
    <w:p w:rsidR="008F2A77" w:rsidRDefault="008F2A77" w:rsidP="008F6018">
      <w:pPr>
        <w:pStyle w:val="Notedebasdepage"/>
        <w:spacing w:line="240" w:lineRule="auto"/>
        <w:rPr>
          <w:rFonts w:ascii="Rockwell" w:hAnsi="Rockwell" w:cs="Arial"/>
          <w:sz w:val="24"/>
          <w:szCs w:val="24"/>
        </w:rPr>
      </w:pPr>
    </w:p>
    <w:p w:rsidR="008F2A77" w:rsidRDefault="008F2A77" w:rsidP="008F6018">
      <w:pPr>
        <w:pStyle w:val="Notedebasdepage"/>
        <w:spacing w:line="240" w:lineRule="auto"/>
        <w:rPr>
          <w:rFonts w:ascii="Rockwell" w:hAnsi="Rockwell" w:cs="Arial"/>
          <w:sz w:val="24"/>
          <w:szCs w:val="24"/>
        </w:rPr>
      </w:pPr>
    </w:p>
    <w:p w:rsidR="008F2A77" w:rsidRDefault="008F2A77" w:rsidP="008F6018">
      <w:pPr>
        <w:pStyle w:val="Notedebasdepage"/>
        <w:spacing w:line="240" w:lineRule="auto"/>
        <w:rPr>
          <w:rFonts w:ascii="Rockwell" w:hAnsi="Rockwell" w:cs="Arial"/>
          <w:sz w:val="24"/>
          <w:szCs w:val="24"/>
        </w:rPr>
      </w:pPr>
    </w:p>
    <w:p w:rsidR="008F2A77" w:rsidRDefault="008F2A77"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1C5251" w:rsidRDefault="001C5251" w:rsidP="008F6018">
      <w:pPr>
        <w:pStyle w:val="Notedebasdepage"/>
        <w:spacing w:line="240" w:lineRule="auto"/>
        <w:rPr>
          <w:rFonts w:ascii="Rockwell" w:hAnsi="Rockwell" w:cs="Arial"/>
          <w:sz w:val="24"/>
          <w:szCs w:val="24"/>
        </w:rPr>
      </w:pPr>
    </w:p>
    <w:p w:rsidR="008F2A77" w:rsidRDefault="008F2A77" w:rsidP="008F6018">
      <w:pPr>
        <w:pStyle w:val="Notedebasdepage"/>
        <w:spacing w:line="240" w:lineRule="auto"/>
        <w:rPr>
          <w:rFonts w:ascii="Rockwell" w:hAnsi="Rockwell" w:cs="Arial"/>
          <w:sz w:val="24"/>
          <w:szCs w:val="24"/>
        </w:rPr>
      </w:pPr>
    </w:p>
    <w:p w:rsidR="00E06904" w:rsidRPr="0061020E" w:rsidRDefault="00E06904" w:rsidP="008F6018">
      <w:pPr>
        <w:spacing w:after="120" w:line="240" w:lineRule="auto"/>
        <w:jc w:val="both"/>
        <w:rPr>
          <w:rFonts w:ascii="Rockwell" w:eastAsia="Arial Unicode MS" w:hAnsi="Rockwell" w:cs="Arial"/>
          <w:b/>
          <w:sz w:val="24"/>
          <w:szCs w:val="24"/>
        </w:rPr>
      </w:pPr>
      <w:r w:rsidRPr="0061020E">
        <w:rPr>
          <w:rFonts w:ascii="Rockwell" w:eastAsia="Arial Unicode MS" w:hAnsi="Rockwell" w:cs="Arial"/>
          <w:b/>
          <w:sz w:val="24"/>
          <w:szCs w:val="24"/>
        </w:rPr>
        <w:t>SOMMAIRE</w:t>
      </w:r>
    </w:p>
    <w:p w:rsidR="00E06904" w:rsidRPr="0061020E" w:rsidRDefault="00E06904" w:rsidP="008F6018">
      <w:pPr>
        <w:pStyle w:val="TM1"/>
        <w:tabs>
          <w:tab w:val="right" w:leader="underscore" w:pos="9402"/>
        </w:tabs>
        <w:spacing w:before="0" w:after="120" w:line="240" w:lineRule="auto"/>
        <w:jc w:val="both"/>
        <w:rPr>
          <w:rFonts w:ascii="Rockwell" w:eastAsia="Arial Unicode MS" w:hAnsi="Rockwell" w:cs="Arial"/>
          <w:b w:val="0"/>
          <w:color w:val="999999"/>
        </w:rPr>
      </w:pPr>
    </w:p>
    <w:p w:rsidR="00751545" w:rsidRDefault="00033836">
      <w:pPr>
        <w:pStyle w:val="TM1"/>
        <w:tabs>
          <w:tab w:val="right" w:leader="dot" w:pos="9402"/>
        </w:tabs>
        <w:rPr>
          <w:rFonts w:eastAsiaTheme="minorEastAsia"/>
          <w:b w:val="0"/>
          <w:bCs w:val="0"/>
          <w:i w:val="0"/>
          <w:iCs w:val="0"/>
          <w:noProof/>
          <w:sz w:val="22"/>
          <w:szCs w:val="22"/>
          <w:lang w:eastAsia="fr-FR"/>
        </w:rPr>
      </w:pPr>
      <w:r>
        <w:rPr>
          <w:rFonts w:ascii="Rockwell" w:eastAsia="Arial Unicode MS" w:hAnsi="Rockwell" w:cs="Arial"/>
          <w:bCs w:val="0"/>
          <w:i w:val="0"/>
          <w:iCs w:val="0"/>
          <w:color w:val="999999"/>
        </w:rPr>
        <w:fldChar w:fldCharType="begin"/>
      </w:r>
      <w:r>
        <w:rPr>
          <w:rFonts w:ascii="Rockwell" w:eastAsia="Arial Unicode MS" w:hAnsi="Rockwell" w:cs="Arial"/>
          <w:bCs w:val="0"/>
          <w:i w:val="0"/>
          <w:iCs w:val="0"/>
          <w:color w:val="999999"/>
        </w:rPr>
        <w:instrText xml:space="preserve"> TOC \o "1-2" \h \z \u </w:instrText>
      </w:r>
      <w:r>
        <w:rPr>
          <w:rFonts w:ascii="Rockwell" w:eastAsia="Arial Unicode MS" w:hAnsi="Rockwell" w:cs="Arial"/>
          <w:bCs w:val="0"/>
          <w:i w:val="0"/>
          <w:iCs w:val="0"/>
          <w:color w:val="999999"/>
        </w:rPr>
        <w:fldChar w:fldCharType="separate"/>
      </w:r>
      <w:hyperlink w:anchor="_Toc503784915" w:history="1">
        <w:r w:rsidR="00751545" w:rsidRPr="0033286C">
          <w:rPr>
            <w:rStyle w:val="Lienhypertexte"/>
            <w:rFonts w:ascii="Rockwell" w:hAnsi="Rockwell"/>
            <w:noProof/>
          </w:rPr>
          <w:t>LISTE DES ABREVIATIONS</w:t>
        </w:r>
        <w:r w:rsidR="00751545">
          <w:rPr>
            <w:noProof/>
            <w:webHidden/>
          </w:rPr>
          <w:tab/>
        </w:r>
        <w:r w:rsidR="00751545">
          <w:rPr>
            <w:noProof/>
            <w:webHidden/>
          </w:rPr>
          <w:fldChar w:fldCharType="begin"/>
        </w:r>
        <w:r w:rsidR="00751545">
          <w:rPr>
            <w:noProof/>
            <w:webHidden/>
          </w:rPr>
          <w:instrText xml:space="preserve"> PAGEREF _Toc503784915 \h </w:instrText>
        </w:r>
        <w:r w:rsidR="00751545">
          <w:rPr>
            <w:noProof/>
            <w:webHidden/>
          </w:rPr>
        </w:r>
        <w:r w:rsidR="00751545">
          <w:rPr>
            <w:noProof/>
            <w:webHidden/>
          </w:rPr>
          <w:fldChar w:fldCharType="separate"/>
        </w:r>
        <w:r w:rsidR="00751545">
          <w:rPr>
            <w:noProof/>
            <w:webHidden/>
          </w:rPr>
          <w:t>IV</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16" w:history="1">
        <w:r w:rsidR="00751545" w:rsidRPr="0033286C">
          <w:rPr>
            <w:rStyle w:val="Lienhypertexte"/>
            <w:rFonts w:ascii="Rockwell" w:hAnsi="Rockwell"/>
            <w:noProof/>
          </w:rPr>
          <w:t>INTRODUCTION</w:t>
        </w:r>
        <w:r w:rsidR="00751545">
          <w:rPr>
            <w:noProof/>
            <w:webHidden/>
          </w:rPr>
          <w:tab/>
        </w:r>
        <w:r w:rsidR="00751545">
          <w:rPr>
            <w:noProof/>
            <w:webHidden/>
          </w:rPr>
          <w:fldChar w:fldCharType="begin"/>
        </w:r>
        <w:r w:rsidR="00751545">
          <w:rPr>
            <w:noProof/>
            <w:webHidden/>
          </w:rPr>
          <w:instrText xml:space="preserve"> PAGEREF _Toc503784916 \h </w:instrText>
        </w:r>
        <w:r w:rsidR="00751545">
          <w:rPr>
            <w:noProof/>
            <w:webHidden/>
          </w:rPr>
        </w:r>
        <w:r w:rsidR="00751545">
          <w:rPr>
            <w:noProof/>
            <w:webHidden/>
          </w:rPr>
          <w:fldChar w:fldCharType="separate"/>
        </w:r>
        <w:r w:rsidR="00751545">
          <w:rPr>
            <w:noProof/>
            <w:webHidden/>
          </w:rPr>
          <w:t>1</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17" w:history="1">
        <w:r w:rsidR="00751545" w:rsidRPr="0033286C">
          <w:rPr>
            <w:rStyle w:val="Lienhypertexte"/>
            <w:rFonts w:ascii="Rockwell" w:hAnsi="Rockwell"/>
            <w:noProof/>
          </w:rPr>
          <w:t>Ière PARTIE - CONCEPTS DE LA QUALITE</w:t>
        </w:r>
        <w:r w:rsidR="00751545">
          <w:rPr>
            <w:noProof/>
            <w:webHidden/>
          </w:rPr>
          <w:tab/>
        </w:r>
        <w:r w:rsidR="00751545">
          <w:rPr>
            <w:noProof/>
            <w:webHidden/>
          </w:rPr>
          <w:fldChar w:fldCharType="begin"/>
        </w:r>
        <w:r w:rsidR="00751545">
          <w:rPr>
            <w:noProof/>
            <w:webHidden/>
          </w:rPr>
          <w:instrText xml:space="preserve"> PAGEREF _Toc503784917 \h </w:instrText>
        </w:r>
        <w:r w:rsidR="00751545">
          <w:rPr>
            <w:noProof/>
            <w:webHidden/>
          </w:rPr>
        </w:r>
        <w:r w:rsidR="00751545">
          <w:rPr>
            <w:noProof/>
            <w:webHidden/>
          </w:rPr>
          <w:fldChar w:fldCharType="separate"/>
        </w:r>
        <w:r w:rsidR="00751545">
          <w:rPr>
            <w:noProof/>
            <w:webHidden/>
          </w:rPr>
          <w:t>2</w:t>
        </w:r>
        <w:r w:rsidR="00751545">
          <w:rPr>
            <w:noProof/>
            <w:webHidden/>
          </w:rPr>
          <w:fldChar w:fldCharType="end"/>
        </w:r>
      </w:hyperlink>
    </w:p>
    <w:p w:rsidR="00751545" w:rsidRDefault="00017DA8">
      <w:pPr>
        <w:pStyle w:val="TM2"/>
        <w:tabs>
          <w:tab w:val="left" w:pos="660"/>
          <w:tab w:val="right" w:leader="dot" w:pos="9402"/>
        </w:tabs>
        <w:rPr>
          <w:rFonts w:eastAsiaTheme="minorEastAsia"/>
          <w:b w:val="0"/>
          <w:bCs w:val="0"/>
          <w:noProof/>
          <w:lang w:eastAsia="fr-FR"/>
        </w:rPr>
      </w:pPr>
      <w:hyperlink w:anchor="_Toc503784918" w:history="1">
        <w:r w:rsidR="00751545" w:rsidRPr="0033286C">
          <w:rPr>
            <w:rStyle w:val="Lienhypertexte"/>
            <w:rFonts w:ascii="Rockwell" w:hAnsi="Rockwell"/>
            <w:noProof/>
          </w:rPr>
          <w:t>I.</w:t>
        </w:r>
        <w:r w:rsidR="00751545">
          <w:rPr>
            <w:rFonts w:eastAsiaTheme="minorEastAsia"/>
            <w:b w:val="0"/>
            <w:bCs w:val="0"/>
            <w:noProof/>
            <w:lang w:eastAsia="fr-FR"/>
          </w:rPr>
          <w:tab/>
        </w:r>
        <w:r w:rsidR="00751545" w:rsidRPr="0033286C">
          <w:rPr>
            <w:rStyle w:val="Lienhypertexte"/>
            <w:rFonts w:ascii="Rockwell" w:hAnsi="Rockwell"/>
            <w:noProof/>
          </w:rPr>
          <w:t>Généralités sur la qualité et l'assurance de la qualité</w:t>
        </w:r>
        <w:r w:rsidR="00751545">
          <w:rPr>
            <w:noProof/>
            <w:webHidden/>
          </w:rPr>
          <w:tab/>
        </w:r>
        <w:r w:rsidR="00751545">
          <w:rPr>
            <w:noProof/>
            <w:webHidden/>
          </w:rPr>
          <w:fldChar w:fldCharType="begin"/>
        </w:r>
        <w:r w:rsidR="00751545">
          <w:rPr>
            <w:noProof/>
            <w:webHidden/>
          </w:rPr>
          <w:instrText xml:space="preserve"> PAGEREF _Toc503784918 \h </w:instrText>
        </w:r>
        <w:r w:rsidR="00751545">
          <w:rPr>
            <w:noProof/>
            <w:webHidden/>
          </w:rPr>
        </w:r>
        <w:r w:rsidR="00751545">
          <w:rPr>
            <w:noProof/>
            <w:webHidden/>
          </w:rPr>
          <w:fldChar w:fldCharType="separate"/>
        </w:r>
        <w:r w:rsidR="00751545">
          <w:rPr>
            <w:noProof/>
            <w:webHidden/>
          </w:rPr>
          <w:t>2</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19" w:history="1">
        <w:r w:rsidR="00751545" w:rsidRPr="0033286C">
          <w:rPr>
            <w:rStyle w:val="Lienhypertexte"/>
            <w:rFonts w:ascii="Rockwell" w:hAnsi="Rockwell"/>
            <w:noProof/>
          </w:rPr>
          <w:t>II.</w:t>
        </w:r>
        <w:r w:rsidR="00751545">
          <w:rPr>
            <w:rFonts w:eastAsiaTheme="minorEastAsia"/>
            <w:b w:val="0"/>
            <w:bCs w:val="0"/>
            <w:noProof/>
            <w:lang w:eastAsia="fr-FR"/>
          </w:rPr>
          <w:tab/>
        </w:r>
        <w:r w:rsidR="00751545" w:rsidRPr="0033286C">
          <w:rPr>
            <w:rStyle w:val="Lienhypertexte"/>
            <w:rFonts w:ascii="Rockwell" w:hAnsi="Rockwell"/>
            <w:noProof/>
          </w:rPr>
          <w:t>Contexte général de la réglementation, de la normalisation et de la certification</w:t>
        </w:r>
        <w:r w:rsidR="00751545">
          <w:rPr>
            <w:noProof/>
            <w:webHidden/>
          </w:rPr>
          <w:tab/>
        </w:r>
        <w:r w:rsidR="00751545">
          <w:rPr>
            <w:noProof/>
            <w:webHidden/>
          </w:rPr>
          <w:fldChar w:fldCharType="begin"/>
        </w:r>
        <w:r w:rsidR="00751545">
          <w:rPr>
            <w:noProof/>
            <w:webHidden/>
          </w:rPr>
          <w:instrText xml:space="preserve"> PAGEREF _Toc503784919 \h </w:instrText>
        </w:r>
        <w:r w:rsidR="00751545">
          <w:rPr>
            <w:noProof/>
            <w:webHidden/>
          </w:rPr>
        </w:r>
        <w:r w:rsidR="00751545">
          <w:rPr>
            <w:noProof/>
            <w:webHidden/>
          </w:rPr>
          <w:fldChar w:fldCharType="separate"/>
        </w:r>
        <w:r w:rsidR="00751545">
          <w:rPr>
            <w:noProof/>
            <w:webHidden/>
          </w:rPr>
          <w:t>5</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20" w:history="1">
        <w:r w:rsidR="00751545" w:rsidRPr="0033286C">
          <w:rPr>
            <w:rStyle w:val="Lienhypertexte"/>
            <w:rFonts w:ascii="Rockwell" w:hAnsi="Rockwell"/>
            <w:noProof/>
          </w:rPr>
          <w:t>IIème PARTIE - CONSEILS PRATIQUES A L'ACHETEUR PUBLIC</w:t>
        </w:r>
        <w:r w:rsidR="00751545">
          <w:rPr>
            <w:noProof/>
            <w:webHidden/>
          </w:rPr>
          <w:tab/>
        </w:r>
        <w:r w:rsidR="00751545">
          <w:rPr>
            <w:noProof/>
            <w:webHidden/>
          </w:rPr>
          <w:fldChar w:fldCharType="begin"/>
        </w:r>
        <w:r w:rsidR="00751545">
          <w:rPr>
            <w:noProof/>
            <w:webHidden/>
          </w:rPr>
          <w:instrText xml:space="preserve"> PAGEREF _Toc503784920 \h </w:instrText>
        </w:r>
        <w:r w:rsidR="00751545">
          <w:rPr>
            <w:noProof/>
            <w:webHidden/>
          </w:rPr>
        </w:r>
        <w:r w:rsidR="00751545">
          <w:rPr>
            <w:noProof/>
            <w:webHidden/>
          </w:rPr>
          <w:fldChar w:fldCharType="separate"/>
        </w:r>
        <w:r w:rsidR="00751545">
          <w:rPr>
            <w:noProof/>
            <w:webHidden/>
          </w:rPr>
          <w:t>9</w:t>
        </w:r>
        <w:r w:rsidR="00751545">
          <w:rPr>
            <w:noProof/>
            <w:webHidden/>
          </w:rPr>
          <w:fldChar w:fldCharType="end"/>
        </w:r>
      </w:hyperlink>
    </w:p>
    <w:p w:rsidR="00751545" w:rsidRDefault="00017DA8">
      <w:pPr>
        <w:pStyle w:val="TM2"/>
        <w:tabs>
          <w:tab w:val="left" w:pos="660"/>
          <w:tab w:val="right" w:leader="dot" w:pos="9402"/>
        </w:tabs>
        <w:rPr>
          <w:rFonts w:eastAsiaTheme="minorEastAsia"/>
          <w:b w:val="0"/>
          <w:bCs w:val="0"/>
          <w:noProof/>
          <w:lang w:eastAsia="fr-FR"/>
        </w:rPr>
      </w:pPr>
      <w:hyperlink w:anchor="_Toc503784921" w:history="1">
        <w:r w:rsidR="00751545" w:rsidRPr="0033286C">
          <w:rPr>
            <w:rStyle w:val="Lienhypertexte"/>
            <w:rFonts w:ascii="Rockwell" w:hAnsi="Rockwell"/>
            <w:noProof/>
          </w:rPr>
          <w:t>I.</w:t>
        </w:r>
        <w:r w:rsidR="00751545">
          <w:rPr>
            <w:rFonts w:eastAsiaTheme="minorEastAsia"/>
            <w:b w:val="0"/>
            <w:bCs w:val="0"/>
            <w:noProof/>
            <w:lang w:eastAsia="fr-FR"/>
          </w:rPr>
          <w:tab/>
        </w:r>
        <w:r w:rsidR="00751545" w:rsidRPr="0033286C">
          <w:rPr>
            <w:rStyle w:val="Lienhypertexte"/>
            <w:rFonts w:ascii="Rockwell" w:hAnsi="Rockwell"/>
            <w:noProof/>
          </w:rPr>
          <w:t>Introduction</w:t>
        </w:r>
        <w:r w:rsidR="00751545">
          <w:rPr>
            <w:noProof/>
            <w:webHidden/>
          </w:rPr>
          <w:tab/>
        </w:r>
        <w:r w:rsidR="00751545">
          <w:rPr>
            <w:noProof/>
            <w:webHidden/>
          </w:rPr>
          <w:fldChar w:fldCharType="begin"/>
        </w:r>
        <w:r w:rsidR="00751545">
          <w:rPr>
            <w:noProof/>
            <w:webHidden/>
          </w:rPr>
          <w:instrText xml:space="preserve"> PAGEREF _Toc503784921 \h </w:instrText>
        </w:r>
        <w:r w:rsidR="00751545">
          <w:rPr>
            <w:noProof/>
            <w:webHidden/>
          </w:rPr>
        </w:r>
        <w:r w:rsidR="00751545">
          <w:rPr>
            <w:noProof/>
            <w:webHidden/>
          </w:rPr>
          <w:fldChar w:fldCharType="separate"/>
        </w:r>
        <w:r w:rsidR="00751545">
          <w:rPr>
            <w:noProof/>
            <w:webHidden/>
          </w:rPr>
          <w:t>9</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2" w:history="1">
        <w:r w:rsidR="00751545" w:rsidRPr="0033286C">
          <w:rPr>
            <w:rStyle w:val="Lienhypertexte"/>
            <w:rFonts w:ascii="Rockwell" w:hAnsi="Rockwell"/>
            <w:noProof/>
          </w:rPr>
          <w:t>II.</w:t>
        </w:r>
        <w:r w:rsidR="00751545">
          <w:rPr>
            <w:rFonts w:eastAsiaTheme="minorEastAsia"/>
            <w:b w:val="0"/>
            <w:bCs w:val="0"/>
            <w:noProof/>
            <w:lang w:eastAsia="fr-FR"/>
          </w:rPr>
          <w:tab/>
        </w:r>
        <w:r w:rsidR="00751545" w:rsidRPr="0033286C">
          <w:rPr>
            <w:rStyle w:val="Lienhypertexte"/>
            <w:rFonts w:ascii="Rockwell" w:hAnsi="Rockwell"/>
            <w:noProof/>
          </w:rPr>
          <w:t>Phases de passation</w:t>
        </w:r>
        <w:r w:rsidR="00751545">
          <w:rPr>
            <w:noProof/>
            <w:webHidden/>
          </w:rPr>
          <w:tab/>
        </w:r>
        <w:r w:rsidR="00751545">
          <w:rPr>
            <w:noProof/>
            <w:webHidden/>
          </w:rPr>
          <w:fldChar w:fldCharType="begin"/>
        </w:r>
        <w:r w:rsidR="00751545">
          <w:rPr>
            <w:noProof/>
            <w:webHidden/>
          </w:rPr>
          <w:instrText xml:space="preserve"> PAGEREF _Toc503784922 \h </w:instrText>
        </w:r>
        <w:r w:rsidR="00751545">
          <w:rPr>
            <w:noProof/>
            <w:webHidden/>
          </w:rPr>
        </w:r>
        <w:r w:rsidR="00751545">
          <w:rPr>
            <w:noProof/>
            <w:webHidden/>
          </w:rPr>
          <w:fldChar w:fldCharType="separate"/>
        </w:r>
        <w:r w:rsidR="00751545">
          <w:rPr>
            <w:noProof/>
            <w:webHidden/>
          </w:rPr>
          <w:t>9</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3" w:history="1">
        <w:r w:rsidR="00751545" w:rsidRPr="0033286C">
          <w:rPr>
            <w:rStyle w:val="Lienhypertexte"/>
            <w:rFonts w:ascii="Rockwell" w:hAnsi="Rockwell"/>
            <w:noProof/>
          </w:rPr>
          <w:t>III.</w:t>
        </w:r>
        <w:r w:rsidR="00751545">
          <w:rPr>
            <w:rFonts w:eastAsiaTheme="minorEastAsia"/>
            <w:b w:val="0"/>
            <w:bCs w:val="0"/>
            <w:noProof/>
            <w:lang w:eastAsia="fr-FR"/>
          </w:rPr>
          <w:tab/>
        </w:r>
        <w:r w:rsidR="00751545" w:rsidRPr="0033286C">
          <w:rPr>
            <w:rStyle w:val="Lienhypertexte"/>
            <w:rFonts w:ascii="Rockwell" w:hAnsi="Rockwell"/>
            <w:noProof/>
          </w:rPr>
          <w:t>Exigences de conformité : preuve de la conformité du produit et assurance de la qualité</w:t>
        </w:r>
        <w:r w:rsidR="00751545">
          <w:rPr>
            <w:noProof/>
            <w:webHidden/>
          </w:rPr>
          <w:tab/>
        </w:r>
        <w:r w:rsidR="00751545">
          <w:rPr>
            <w:noProof/>
            <w:webHidden/>
          </w:rPr>
          <w:fldChar w:fldCharType="begin"/>
        </w:r>
        <w:r w:rsidR="00751545">
          <w:rPr>
            <w:noProof/>
            <w:webHidden/>
          </w:rPr>
          <w:instrText xml:space="preserve"> PAGEREF _Toc503784923 \h </w:instrText>
        </w:r>
        <w:r w:rsidR="00751545">
          <w:rPr>
            <w:noProof/>
            <w:webHidden/>
          </w:rPr>
        </w:r>
        <w:r w:rsidR="00751545">
          <w:rPr>
            <w:noProof/>
            <w:webHidden/>
          </w:rPr>
          <w:fldChar w:fldCharType="separate"/>
        </w:r>
        <w:r w:rsidR="00751545">
          <w:rPr>
            <w:noProof/>
            <w:webHidden/>
          </w:rPr>
          <w:t>10</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4" w:history="1">
        <w:r w:rsidR="00751545" w:rsidRPr="0033286C">
          <w:rPr>
            <w:rStyle w:val="Lienhypertexte"/>
            <w:rFonts w:ascii="Rockwell" w:hAnsi="Rockwell"/>
            <w:noProof/>
          </w:rPr>
          <w:t>IV.</w:t>
        </w:r>
        <w:r w:rsidR="00751545">
          <w:rPr>
            <w:rFonts w:eastAsiaTheme="minorEastAsia"/>
            <w:b w:val="0"/>
            <w:bCs w:val="0"/>
            <w:noProof/>
            <w:lang w:eastAsia="fr-FR"/>
          </w:rPr>
          <w:tab/>
        </w:r>
        <w:r w:rsidR="00751545" w:rsidRPr="0033286C">
          <w:rPr>
            <w:rStyle w:val="Lienhypertexte"/>
            <w:rFonts w:ascii="Rockwell" w:hAnsi="Rockwell"/>
            <w:noProof/>
          </w:rPr>
          <w:t>Surveillance en cours de réalisation</w:t>
        </w:r>
        <w:r w:rsidR="00751545">
          <w:rPr>
            <w:noProof/>
            <w:webHidden/>
          </w:rPr>
          <w:tab/>
        </w:r>
        <w:r w:rsidR="00751545">
          <w:rPr>
            <w:noProof/>
            <w:webHidden/>
          </w:rPr>
          <w:fldChar w:fldCharType="begin"/>
        </w:r>
        <w:r w:rsidR="00751545">
          <w:rPr>
            <w:noProof/>
            <w:webHidden/>
          </w:rPr>
          <w:instrText xml:space="preserve"> PAGEREF _Toc503784924 \h </w:instrText>
        </w:r>
        <w:r w:rsidR="00751545">
          <w:rPr>
            <w:noProof/>
            <w:webHidden/>
          </w:rPr>
        </w:r>
        <w:r w:rsidR="00751545">
          <w:rPr>
            <w:noProof/>
            <w:webHidden/>
          </w:rPr>
          <w:fldChar w:fldCharType="separate"/>
        </w:r>
        <w:r w:rsidR="00751545">
          <w:rPr>
            <w:noProof/>
            <w:webHidden/>
          </w:rPr>
          <w:t>16</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5" w:history="1">
        <w:r w:rsidR="00751545" w:rsidRPr="0033286C">
          <w:rPr>
            <w:rStyle w:val="Lienhypertexte"/>
            <w:rFonts w:ascii="Rockwell" w:hAnsi="Rockwell"/>
            <w:noProof/>
          </w:rPr>
          <w:t>V.</w:t>
        </w:r>
        <w:r w:rsidR="00751545">
          <w:rPr>
            <w:rFonts w:eastAsiaTheme="minorEastAsia"/>
            <w:b w:val="0"/>
            <w:bCs w:val="0"/>
            <w:noProof/>
            <w:lang w:eastAsia="fr-FR"/>
          </w:rPr>
          <w:tab/>
        </w:r>
        <w:r w:rsidR="00751545" w:rsidRPr="0033286C">
          <w:rPr>
            <w:rStyle w:val="Lienhypertexte"/>
            <w:rFonts w:ascii="Rockwell" w:hAnsi="Rockwell"/>
            <w:noProof/>
          </w:rPr>
          <w:t>Vérification de la conformité du produit à la réception</w:t>
        </w:r>
        <w:r w:rsidR="00751545">
          <w:rPr>
            <w:noProof/>
            <w:webHidden/>
          </w:rPr>
          <w:tab/>
        </w:r>
        <w:r w:rsidR="00751545">
          <w:rPr>
            <w:noProof/>
            <w:webHidden/>
          </w:rPr>
          <w:fldChar w:fldCharType="begin"/>
        </w:r>
        <w:r w:rsidR="00751545">
          <w:rPr>
            <w:noProof/>
            <w:webHidden/>
          </w:rPr>
          <w:instrText xml:space="preserve"> PAGEREF _Toc503784925 \h </w:instrText>
        </w:r>
        <w:r w:rsidR="00751545">
          <w:rPr>
            <w:noProof/>
            <w:webHidden/>
          </w:rPr>
        </w:r>
        <w:r w:rsidR="00751545">
          <w:rPr>
            <w:noProof/>
            <w:webHidden/>
          </w:rPr>
          <w:fldChar w:fldCharType="separate"/>
        </w:r>
        <w:r w:rsidR="00751545">
          <w:rPr>
            <w:noProof/>
            <w:webHidden/>
          </w:rPr>
          <w:t>17</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6" w:history="1">
        <w:r w:rsidR="00751545" w:rsidRPr="0033286C">
          <w:rPr>
            <w:rStyle w:val="Lienhypertexte"/>
            <w:rFonts w:ascii="Rockwell" w:hAnsi="Rockwell"/>
            <w:noProof/>
          </w:rPr>
          <w:t>VI.</w:t>
        </w:r>
        <w:r w:rsidR="00751545">
          <w:rPr>
            <w:rFonts w:eastAsiaTheme="minorEastAsia"/>
            <w:b w:val="0"/>
            <w:bCs w:val="0"/>
            <w:noProof/>
            <w:lang w:eastAsia="fr-FR"/>
          </w:rPr>
          <w:tab/>
        </w:r>
        <w:r w:rsidR="00751545" w:rsidRPr="0033286C">
          <w:rPr>
            <w:rStyle w:val="Lienhypertexte"/>
            <w:rFonts w:ascii="Rockwell" w:hAnsi="Rockwell"/>
            <w:noProof/>
          </w:rPr>
          <w:t>Retour d’expérience</w:t>
        </w:r>
        <w:r w:rsidR="00751545">
          <w:rPr>
            <w:noProof/>
            <w:webHidden/>
          </w:rPr>
          <w:tab/>
        </w:r>
        <w:r w:rsidR="00751545">
          <w:rPr>
            <w:noProof/>
            <w:webHidden/>
          </w:rPr>
          <w:fldChar w:fldCharType="begin"/>
        </w:r>
        <w:r w:rsidR="00751545">
          <w:rPr>
            <w:noProof/>
            <w:webHidden/>
          </w:rPr>
          <w:instrText xml:space="preserve"> PAGEREF _Toc503784926 \h </w:instrText>
        </w:r>
        <w:r w:rsidR="00751545">
          <w:rPr>
            <w:noProof/>
            <w:webHidden/>
          </w:rPr>
        </w:r>
        <w:r w:rsidR="00751545">
          <w:rPr>
            <w:noProof/>
            <w:webHidden/>
          </w:rPr>
          <w:fldChar w:fldCharType="separate"/>
        </w:r>
        <w:r w:rsidR="00751545">
          <w:rPr>
            <w:noProof/>
            <w:webHidden/>
          </w:rPr>
          <w:t>18</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27" w:history="1">
        <w:r w:rsidR="00751545" w:rsidRPr="0033286C">
          <w:rPr>
            <w:rStyle w:val="Lienhypertexte"/>
            <w:rFonts w:ascii="Rockwell" w:hAnsi="Rockwell"/>
            <w:noProof/>
          </w:rPr>
          <w:t>IIIème PARTIE - EXIGENCES MINIMALES EN MATIERE DE GESTION DE LA QUALITE</w:t>
        </w:r>
        <w:r w:rsidR="00751545">
          <w:rPr>
            <w:noProof/>
            <w:webHidden/>
          </w:rPr>
          <w:tab/>
        </w:r>
        <w:r w:rsidR="00751545">
          <w:rPr>
            <w:noProof/>
            <w:webHidden/>
          </w:rPr>
          <w:fldChar w:fldCharType="begin"/>
        </w:r>
        <w:r w:rsidR="00751545">
          <w:rPr>
            <w:noProof/>
            <w:webHidden/>
          </w:rPr>
          <w:instrText xml:space="preserve"> PAGEREF _Toc503784927 \h </w:instrText>
        </w:r>
        <w:r w:rsidR="00751545">
          <w:rPr>
            <w:noProof/>
            <w:webHidden/>
          </w:rPr>
        </w:r>
        <w:r w:rsidR="00751545">
          <w:rPr>
            <w:noProof/>
            <w:webHidden/>
          </w:rPr>
          <w:fldChar w:fldCharType="separate"/>
        </w:r>
        <w:r w:rsidR="00751545">
          <w:rPr>
            <w:noProof/>
            <w:webHidden/>
          </w:rPr>
          <w:t>20</w:t>
        </w:r>
        <w:r w:rsidR="00751545">
          <w:rPr>
            <w:noProof/>
            <w:webHidden/>
          </w:rPr>
          <w:fldChar w:fldCharType="end"/>
        </w:r>
      </w:hyperlink>
    </w:p>
    <w:p w:rsidR="00751545" w:rsidRDefault="00017DA8">
      <w:pPr>
        <w:pStyle w:val="TM2"/>
        <w:tabs>
          <w:tab w:val="left" w:pos="660"/>
          <w:tab w:val="right" w:leader="dot" w:pos="9402"/>
        </w:tabs>
        <w:rPr>
          <w:rFonts w:eastAsiaTheme="minorEastAsia"/>
          <w:b w:val="0"/>
          <w:bCs w:val="0"/>
          <w:noProof/>
          <w:lang w:eastAsia="fr-FR"/>
        </w:rPr>
      </w:pPr>
      <w:hyperlink w:anchor="_Toc503784928" w:history="1">
        <w:r w:rsidR="00751545" w:rsidRPr="0033286C">
          <w:rPr>
            <w:rStyle w:val="Lienhypertexte"/>
            <w:rFonts w:ascii="Rockwell" w:hAnsi="Rockwell"/>
            <w:noProof/>
          </w:rPr>
          <w:t>I.</w:t>
        </w:r>
        <w:r w:rsidR="00751545">
          <w:rPr>
            <w:rFonts w:eastAsiaTheme="minorEastAsia"/>
            <w:b w:val="0"/>
            <w:bCs w:val="0"/>
            <w:noProof/>
            <w:lang w:eastAsia="fr-FR"/>
          </w:rPr>
          <w:tab/>
        </w:r>
        <w:r w:rsidR="00751545" w:rsidRPr="0033286C">
          <w:rPr>
            <w:rStyle w:val="Lienhypertexte"/>
            <w:rFonts w:ascii="Rockwell" w:hAnsi="Rockwell"/>
            <w:noProof/>
          </w:rPr>
          <w:t>Exigences minimales en matière de qualité pour les acheteurs</w:t>
        </w:r>
        <w:r w:rsidR="00751545">
          <w:rPr>
            <w:noProof/>
            <w:webHidden/>
          </w:rPr>
          <w:tab/>
        </w:r>
        <w:r w:rsidR="00751545">
          <w:rPr>
            <w:noProof/>
            <w:webHidden/>
          </w:rPr>
          <w:fldChar w:fldCharType="begin"/>
        </w:r>
        <w:r w:rsidR="00751545">
          <w:rPr>
            <w:noProof/>
            <w:webHidden/>
          </w:rPr>
          <w:instrText xml:space="preserve"> PAGEREF _Toc503784928 \h </w:instrText>
        </w:r>
        <w:r w:rsidR="00751545">
          <w:rPr>
            <w:noProof/>
            <w:webHidden/>
          </w:rPr>
        </w:r>
        <w:r w:rsidR="00751545">
          <w:rPr>
            <w:noProof/>
            <w:webHidden/>
          </w:rPr>
          <w:fldChar w:fldCharType="separate"/>
        </w:r>
        <w:r w:rsidR="00751545">
          <w:rPr>
            <w:noProof/>
            <w:webHidden/>
          </w:rPr>
          <w:t>20</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29" w:history="1">
        <w:r w:rsidR="00751545" w:rsidRPr="0033286C">
          <w:rPr>
            <w:rStyle w:val="Lienhypertexte"/>
            <w:rFonts w:ascii="Rockwell" w:hAnsi="Rockwell"/>
            <w:noProof/>
          </w:rPr>
          <w:t>II.</w:t>
        </w:r>
        <w:r w:rsidR="00751545">
          <w:rPr>
            <w:rFonts w:eastAsiaTheme="minorEastAsia"/>
            <w:b w:val="0"/>
            <w:bCs w:val="0"/>
            <w:noProof/>
            <w:lang w:eastAsia="fr-FR"/>
          </w:rPr>
          <w:tab/>
        </w:r>
        <w:r w:rsidR="00751545" w:rsidRPr="0033286C">
          <w:rPr>
            <w:rStyle w:val="Lienhypertexte"/>
            <w:rFonts w:ascii="Rockwell" w:hAnsi="Rockwell"/>
            <w:noProof/>
          </w:rPr>
          <w:t>Exigences minimales en matière de qualité pour les fournisseurs</w:t>
        </w:r>
        <w:r w:rsidR="00751545">
          <w:rPr>
            <w:noProof/>
            <w:webHidden/>
          </w:rPr>
          <w:tab/>
        </w:r>
        <w:r w:rsidR="00751545">
          <w:rPr>
            <w:noProof/>
            <w:webHidden/>
          </w:rPr>
          <w:fldChar w:fldCharType="begin"/>
        </w:r>
        <w:r w:rsidR="00751545">
          <w:rPr>
            <w:noProof/>
            <w:webHidden/>
          </w:rPr>
          <w:instrText xml:space="preserve"> PAGEREF _Toc503784929 \h </w:instrText>
        </w:r>
        <w:r w:rsidR="00751545">
          <w:rPr>
            <w:noProof/>
            <w:webHidden/>
          </w:rPr>
        </w:r>
        <w:r w:rsidR="00751545">
          <w:rPr>
            <w:noProof/>
            <w:webHidden/>
          </w:rPr>
          <w:fldChar w:fldCharType="separate"/>
        </w:r>
        <w:r w:rsidR="00751545">
          <w:rPr>
            <w:noProof/>
            <w:webHidden/>
          </w:rPr>
          <w:t>24</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30" w:history="1">
        <w:r w:rsidR="00751545" w:rsidRPr="0033286C">
          <w:rPr>
            <w:rStyle w:val="Lienhypertexte"/>
            <w:rFonts w:ascii="Rockwell" w:hAnsi="Rockwell"/>
            <w:noProof/>
          </w:rPr>
          <w:t>IVème PARTIE - EXIGENCES NORMATIVES POUR LES PRODUITS DANS LE CADRE DES ACHATS PUBLICS, PAR SECTEUR AU BURKINA FASO</w:t>
        </w:r>
        <w:r w:rsidR="00751545">
          <w:rPr>
            <w:noProof/>
            <w:webHidden/>
          </w:rPr>
          <w:tab/>
        </w:r>
        <w:r w:rsidR="00751545">
          <w:rPr>
            <w:noProof/>
            <w:webHidden/>
          </w:rPr>
          <w:fldChar w:fldCharType="begin"/>
        </w:r>
        <w:r w:rsidR="00751545">
          <w:rPr>
            <w:noProof/>
            <w:webHidden/>
          </w:rPr>
          <w:instrText xml:space="preserve"> PAGEREF _Toc503784930 \h </w:instrText>
        </w:r>
        <w:r w:rsidR="00751545">
          <w:rPr>
            <w:noProof/>
            <w:webHidden/>
          </w:rPr>
        </w:r>
        <w:r w:rsidR="00751545">
          <w:rPr>
            <w:noProof/>
            <w:webHidden/>
          </w:rPr>
          <w:fldChar w:fldCharType="separate"/>
        </w:r>
        <w:r w:rsidR="00751545">
          <w:rPr>
            <w:noProof/>
            <w:webHidden/>
          </w:rPr>
          <w:t>26</w:t>
        </w:r>
        <w:r w:rsidR="00751545">
          <w:rPr>
            <w:noProof/>
            <w:webHidden/>
          </w:rPr>
          <w:fldChar w:fldCharType="end"/>
        </w:r>
      </w:hyperlink>
    </w:p>
    <w:p w:rsidR="00751545" w:rsidRDefault="00017DA8">
      <w:pPr>
        <w:pStyle w:val="TM2"/>
        <w:tabs>
          <w:tab w:val="left" w:pos="660"/>
          <w:tab w:val="right" w:leader="dot" w:pos="9402"/>
        </w:tabs>
        <w:rPr>
          <w:rFonts w:eastAsiaTheme="minorEastAsia"/>
          <w:b w:val="0"/>
          <w:bCs w:val="0"/>
          <w:noProof/>
          <w:lang w:eastAsia="fr-FR"/>
        </w:rPr>
      </w:pPr>
      <w:hyperlink w:anchor="_Toc503784931" w:history="1">
        <w:r w:rsidR="00751545" w:rsidRPr="0033286C">
          <w:rPr>
            <w:rStyle w:val="Lienhypertexte"/>
            <w:rFonts w:ascii="Rockwell" w:hAnsi="Rockwell"/>
            <w:noProof/>
          </w:rPr>
          <w:t>I.</w:t>
        </w:r>
        <w:r w:rsidR="00751545">
          <w:rPr>
            <w:rFonts w:eastAsiaTheme="minorEastAsia"/>
            <w:b w:val="0"/>
            <w:bCs w:val="0"/>
            <w:noProof/>
            <w:lang w:eastAsia="fr-FR"/>
          </w:rPr>
          <w:tab/>
        </w:r>
        <w:r w:rsidR="00751545" w:rsidRPr="0033286C">
          <w:rPr>
            <w:rStyle w:val="Lienhypertexte"/>
            <w:rFonts w:ascii="Rockwell" w:hAnsi="Rockwell"/>
            <w:noProof/>
          </w:rPr>
          <w:t>Méthodologie de référence aux normes, avant l’achat public</w:t>
        </w:r>
        <w:r w:rsidR="00751545">
          <w:rPr>
            <w:noProof/>
            <w:webHidden/>
          </w:rPr>
          <w:tab/>
        </w:r>
        <w:r w:rsidR="00751545">
          <w:rPr>
            <w:noProof/>
            <w:webHidden/>
          </w:rPr>
          <w:fldChar w:fldCharType="begin"/>
        </w:r>
        <w:r w:rsidR="00751545">
          <w:rPr>
            <w:noProof/>
            <w:webHidden/>
          </w:rPr>
          <w:instrText xml:space="preserve"> PAGEREF _Toc503784931 \h </w:instrText>
        </w:r>
        <w:r w:rsidR="00751545">
          <w:rPr>
            <w:noProof/>
            <w:webHidden/>
          </w:rPr>
        </w:r>
        <w:r w:rsidR="00751545">
          <w:rPr>
            <w:noProof/>
            <w:webHidden/>
          </w:rPr>
          <w:fldChar w:fldCharType="separate"/>
        </w:r>
        <w:r w:rsidR="00751545">
          <w:rPr>
            <w:noProof/>
            <w:webHidden/>
          </w:rPr>
          <w:t>26</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32" w:history="1">
        <w:r w:rsidR="00751545" w:rsidRPr="0033286C">
          <w:rPr>
            <w:rStyle w:val="Lienhypertexte"/>
            <w:rFonts w:ascii="Rockwell" w:hAnsi="Rockwell"/>
            <w:noProof/>
          </w:rPr>
          <w:t>II.</w:t>
        </w:r>
        <w:r w:rsidR="00751545">
          <w:rPr>
            <w:rFonts w:eastAsiaTheme="minorEastAsia"/>
            <w:b w:val="0"/>
            <w:bCs w:val="0"/>
            <w:noProof/>
            <w:lang w:eastAsia="fr-FR"/>
          </w:rPr>
          <w:tab/>
        </w:r>
        <w:r w:rsidR="00751545" w:rsidRPr="0033286C">
          <w:rPr>
            <w:rStyle w:val="Lienhypertexte"/>
            <w:rFonts w:ascii="Rockwell" w:hAnsi="Rockwell"/>
            <w:noProof/>
          </w:rPr>
          <w:t>Pendant l’achat public : utiliser les normes pour pouvoir sélectionner le fournisseur</w:t>
        </w:r>
        <w:r w:rsidR="00751545">
          <w:rPr>
            <w:noProof/>
            <w:webHidden/>
          </w:rPr>
          <w:tab/>
        </w:r>
        <w:r w:rsidR="00751545">
          <w:rPr>
            <w:noProof/>
            <w:webHidden/>
          </w:rPr>
          <w:fldChar w:fldCharType="begin"/>
        </w:r>
        <w:r w:rsidR="00751545">
          <w:rPr>
            <w:noProof/>
            <w:webHidden/>
          </w:rPr>
          <w:instrText xml:space="preserve"> PAGEREF _Toc503784932 \h </w:instrText>
        </w:r>
        <w:r w:rsidR="00751545">
          <w:rPr>
            <w:noProof/>
            <w:webHidden/>
          </w:rPr>
        </w:r>
        <w:r w:rsidR="00751545">
          <w:rPr>
            <w:noProof/>
            <w:webHidden/>
          </w:rPr>
          <w:fldChar w:fldCharType="separate"/>
        </w:r>
        <w:r w:rsidR="00751545">
          <w:rPr>
            <w:noProof/>
            <w:webHidden/>
          </w:rPr>
          <w:t>30</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33" w:history="1">
        <w:r w:rsidR="00751545" w:rsidRPr="0033286C">
          <w:rPr>
            <w:rStyle w:val="Lienhypertexte"/>
            <w:rFonts w:ascii="Rockwell" w:hAnsi="Rockwell"/>
            <w:noProof/>
          </w:rPr>
          <w:t>III.</w:t>
        </w:r>
        <w:r w:rsidR="00751545">
          <w:rPr>
            <w:rFonts w:eastAsiaTheme="minorEastAsia"/>
            <w:b w:val="0"/>
            <w:bCs w:val="0"/>
            <w:noProof/>
            <w:lang w:eastAsia="fr-FR"/>
          </w:rPr>
          <w:tab/>
        </w:r>
        <w:r w:rsidR="00751545" w:rsidRPr="0033286C">
          <w:rPr>
            <w:rStyle w:val="Lienhypertexte"/>
            <w:rFonts w:ascii="Rockwell" w:hAnsi="Rockwell"/>
            <w:noProof/>
          </w:rPr>
          <w:t>Après l’achat, suivre l’exécution du marché public</w:t>
        </w:r>
        <w:r w:rsidR="00751545">
          <w:rPr>
            <w:noProof/>
            <w:webHidden/>
          </w:rPr>
          <w:tab/>
        </w:r>
        <w:r w:rsidR="00751545">
          <w:rPr>
            <w:noProof/>
            <w:webHidden/>
          </w:rPr>
          <w:fldChar w:fldCharType="begin"/>
        </w:r>
        <w:r w:rsidR="00751545">
          <w:rPr>
            <w:noProof/>
            <w:webHidden/>
          </w:rPr>
          <w:instrText xml:space="preserve"> PAGEREF _Toc503784933 \h </w:instrText>
        </w:r>
        <w:r w:rsidR="00751545">
          <w:rPr>
            <w:noProof/>
            <w:webHidden/>
          </w:rPr>
        </w:r>
        <w:r w:rsidR="00751545">
          <w:rPr>
            <w:noProof/>
            <w:webHidden/>
          </w:rPr>
          <w:fldChar w:fldCharType="separate"/>
        </w:r>
        <w:r w:rsidR="00751545">
          <w:rPr>
            <w:noProof/>
            <w:webHidden/>
          </w:rPr>
          <w:t>30</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34" w:history="1">
        <w:r w:rsidR="00751545" w:rsidRPr="0033286C">
          <w:rPr>
            <w:rStyle w:val="Lienhypertexte"/>
            <w:rFonts w:ascii="Rockwell" w:hAnsi="Rockwell"/>
            <w:noProof/>
          </w:rPr>
          <w:t>IV.</w:t>
        </w:r>
        <w:r w:rsidR="00751545">
          <w:rPr>
            <w:rFonts w:eastAsiaTheme="minorEastAsia"/>
            <w:b w:val="0"/>
            <w:bCs w:val="0"/>
            <w:noProof/>
            <w:lang w:eastAsia="fr-FR"/>
          </w:rPr>
          <w:tab/>
        </w:r>
        <w:r w:rsidR="00751545" w:rsidRPr="0033286C">
          <w:rPr>
            <w:rStyle w:val="Lienhypertexte"/>
            <w:rFonts w:ascii="Rockwell" w:hAnsi="Rockwell"/>
            <w:noProof/>
          </w:rPr>
          <w:t>Exigences normatives par domaine</w:t>
        </w:r>
        <w:r w:rsidR="00751545">
          <w:rPr>
            <w:noProof/>
            <w:webHidden/>
          </w:rPr>
          <w:tab/>
        </w:r>
        <w:r w:rsidR="00751545">
          <w:rPr>
            <w:noProof/>
            <w:webHidden/>
          </w:rPr>
          <w:fldChar w:fldCharType="begin"/>
        </w:r>
        <w:r w:rsidR="00751545">
          <w:rPr>
            <w:noProof/>
            <w:webHidden/>
          </w:rPr>
          <w:instrText xml:space="preserve"> PAGEREF _Toc503784934 \h </w:instrText>
        </w:r>
        <w:r w:rsidR="00751545">
          <w:rPr>
            <w:noProof/>
            <w:webHidden/>
          </w:rPr>
        </w:r>
        <w:r w:rsidR="00751545">
          <w:rPr>
            <w:noProof/>
            <w:webHidden/>
          </w:rPr>
          <w:fldChar w:fldCharType="separate"/>
        </w:r>
        <w:r w:rsidR="00751545">
          <w:rPr>
            <w:noProof/>
            <w:webHidden/>
          </w:rPr>
          <w:t>31</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35" w:history="1">
        <w:r w:rsidR="00751545" w:rsidRPr="0033286C">
          <w:rPr>
            <w:rStyle w:val="Lienhypertexte"/>
            <w:rFonts w:ascii="Rockwell" w:hAnsi="Rockwell"/>
            <w:noProof/>
          </w:rPr>
          <w:t>V.</w:t>
        </w:r>
        <w:r w:rsidR="00751545">
          <w:rPr>
            <w:rFonts w:eastAsiaTheme="minorEastAsia"/>
            <w:b w:val="0"/>
            <w:bCs w:val="0"/>
            <w:noProof/>
            <w:lang w:eastAsia="fr-FR"/>
          </w:rPr>
          <w:tab/>
        </w:r>
        <w:r w:rsidR="00751545" w:rsidRPr="0033286C">
          <w:rPr>
            <w:rStyle w:val="Lienhypertexte"/>
            <w:rFonts w:ascii="Rockwell" w:hAnsi="Rockwell"/>
            <w:noProof/>
          </w:rPr>
          <w:t>Quelques cas de références aux normes internationales</w:t>
        </w:r>
        <w:r w:rsidR="00751545">
          <w:rPr>
            <w:noProof/>
            <w:webHidden/>
          </w:rPr>
          <w:tab/>
        </w:r>
        <w:r w:rsidR="00751545">
          <w:rPr>
            <w:noProof/>
            <w:webHidden/>
          </w:rPr>
          <w:fldChar w:fldCharType="begin"/>
        </w:r>
        <w:r w:rsidR="00751545">
          <w:rPr>
            <w:noProof/>
            <w:webHidden/>
          </w:rPr>
          <w:instrText xml:space="preserve"> PAGEREF _Toc503784935 \h </w:instrText>
        </w:r>
        <w:r w:rsidR="00751545">
          <w:rPr>
            <w:noProof/>
            <w:webHidden/>
          </w:rPr>
        </w:r>
        <w:r w:rsidR="00751545">
          <w:rPr>
            <w:noProof/>
            <w:webHidden/>
          </w:rPr>
          <w:fldChar w:fldCharType="separate"/>
        </w:r>
        <w:r w:rsidR="00751545">
          <w:rPr>
            <w:noProof/>
            <w:webHidden/>
          </w:rPr>
          <w:t>47</w:t>
        </w:r>
        <w:r w:rsidR="00751545">
          <w:rPr>
            <w:noProof/>
            <w:webHidden/>
          </w:rPr>
          <w:fldChar w:fldCharType="end"/>
        </w:r>
      </w:hyperlink>
    </w:p>
    <w:p w:rsidR="00751545" w:rsidRDefault="00017DA8">
      <w:pPr>
        <w:pStyle w:val="TM2"/>
        <w:tabs>
          <w:tab w:val="left" w:pos="880"/>
          <w:tab w:val="right" w:leader="dot" w:pos="9402"/>
        </w:tabs>
        <w:rPr>
          <w:rFonts w:eastAsiaTheme="minorEastAsia"/>
          <w:b w:val="0"/>
          <w:bCs w:val="0"/>
          <w:noProof/>
          <w:lang w:eastAsia="fr-FR"/>
        </w:rPr>
      </w:pPr>
      <w:hyperlink w:anchor="_Toc503784936" w:history="1">
        <w:r w:rsidR="00751545" w:rsidRPr="0033286C">
          <w:rPr>
            <w:rStyle w:val="Lienhypertexte"/>
            <w:rFonts w:ascii="Rockwell" w:hAnsi="Rockwell"/>
            <w:noProof/>
          </w:rPr>
          <w:t>VI.</w:t>
        </w:r>
        <w:r w:rsidR="00751545">
          <w:rPr>
            <w:rFonts w:eastAsiaTheme="minorEastAsia"/>
            <w:b w:val="0"/>
            <w:bCs w:val="0"/>
            <w:noProof/>
            <w:lang w:eastAsia="fr-FR"/>
          </w:rPr>
          <w:tab/>
        </w:r>
        <w:r w:rsidR="00751545" w:rsidRPr="0033286C">
          <w:rPr>
            <w:rStyle w:val="Lienhypertexte"/>
            <w:rFonts w:ascii="Rockwell" w:hAnsi="Rockwell"/>
            <w:noProof/>
          </w:rPr>
          <w:t>Références normatives recommandées pour les autres produits dans le cadre des achats publics</w:t>
        </w:r>
        <w:r w:rsidR="00751545">
          <w:rPr>
            <w:noProof/>
            <w:webHidden/>
          </w:rPr>
          <w:tab/>
        </w:r>
        <w:r w:rsidR="00751545">
          <w:rPr>
            <w:noProof/>
            <w:webHidden/>
          </w:rPr>
          <w:fldChar w:fldCharType="begin"/>
        </w:r>
        <w:r w:rsidR="00751545">
          <w:rPr>
            <w:noProof/>
            <w:webHidden/>
          </w:rPr>
          <w:instrText xml:space="preserve"> PAGEREF _Toc503784936 \h </w:instrText>
        </w:r>
        <w:r w:rsidR="00751545">
          <w:rPr>
            <w:noProof/>
            <w:webHidden/>
          </w:rPr>
        </w:r>
        <w:r w:rsidR="00751545">
          <w:rPr>
            <w:noProof/>
            <w:webHidden/>
          </w:rPr>
          <w:fldChar w:fldCharType="separate"/>
        </w:r>
        <w:r w:rsidR="00751545">
          <w:rPr>
            <w:noProof/>
            <w:webHidden/>
          </w:rPr>
          <w:t>58</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37" w:history="1">
        <w:r w:rsidR="00751545" w:rsidRPr="0033286C">
          <w:rPr>
            <w:rStyle w:val="Lienhypertexte"/>
            <w:rFonts w:ascii="Rockwell" w:hAnsi="Rockwell"/>
            <w:noProof/>
          </w:rPr>
          <w:t>ANNEXES</w:t>
        </w:r>
        <w:r w:rsidR="00751545">
          <w:rPr>
            <w:noProof/>
            <w:webHidden/>
          </w:rPr>
          <w:tab/>
        </w:r>
        <w:r w:rsidR="00751545">
          <w:rPr>
            <w:noProof/>
            <w:webHidden/>
          </w:rPr>
          <w:fldChar w:fldCharType="begin"/>
        </w:r>
        <w:r w:rsidR="00751545">
          <w:rPr>
            <w:noProof/>
            <w:webHidden/>
          </w:rPr>
          <w:instrText xml:space="preserve"> PAGEREF _Toc503784937 \h </w:instrText>
        </w:r>
        <w:r w:rsidR="00751545">
          <w:rPr>
            <w:noProof/>
            <w:webHidden/>
          </w:rPr>
        </w:r>
        <w:r w:rsidR="00751545">
          <w:rPr>
            <w:noProof/>
            <w:webHidden/>
          </w:rPr>
          <w:fldChar w:fldCharType="separate"/>
        </w:r>
        <w:r w:rsidR="00751545">
          <w:rPr>
            <w:noProof/>
            <w:webHidden/>
          </w:rPr>
          <w:t>69</w:t>
        </w:r>
        <w:r w:rsidR="00751545">
          <w:rPr>
            <w:noProof/>
            <w:webHidden/>
          </w:rPr>
          <w:fldChar w:fldCharType="end"/>
        </w:r>
      </w:hyperlink>
    </w:p>
    <w:p w:rsidR="00751545" w:rsidRDefault="00017DA8">
      <w:pPr>
        <w:pStyle w:val="TM1"/>
        <w:tabs>
          <w:tab w:val="right" w:leader="dot" w:pos="9402"/>
        </w:tabs>
        <w:rPr>
          <w:rFonts w:eastAsiaTheme="minorEastAsia"/>
          <w:b w:val="0"/>
          <w:bCs w:val="0"/>
          <w:i w:val="0"/>
          <w:iCs w:val="0"/>
          <w:noProof/>
          <w:sz w:val="22"/>
          <w:szCs w:val="22"/>
          <w:lang w:eastAsia="fr-FR"/>
        </w:rPr>
      </w:pPr>
      <w:hyperlink w:anchor="_Toc503784938" w:history="1">
        <w:r w:rsidR="00751545" w:rsidRPr="0033286C">
          <w:rPr>
            <w:rStyle w:val="Lienhypertexte"/>
            <w:rFonts w:ascii="Rockwell" w:hAnsi="Rockwell"/>
            <w:noProof/>
          </w:rPr>
          <w:t>BIBLIOGRAPHIE</w:t>
        </w:r>
        <w:r w:rsidR="00751545">
          <w:rPr>
            <w:noProof/>
            <w:webHidden/>
          </w:rPr>
          <w:tab/>
        </w:r>
        <w:r w:rsidR="00751545">
          <w:rPr>
            <w:noProof/>
            <w:webHidden/>
          </w:rPr>
          <w:fldChar w:fldCharType="begin"/>
        </w:r>
        <w:r w:rsidR="00751545">
          <w:rPr>
            <w:noProof/>
            <w:webHidden/>
          </w:rPr>
          <w:instrText xml:space="preserve"> PAGEREF _Toc503784938 \h </w:instrText>
        </w:r>
        <w:r w:rsidR="00751545">
          <w:rPr>
            <w:noProof/>
            <w:webHidden/>
          </w:rPr>
        </w:r>
        <w:r w:rsidR="00751545">
          <w:rPr>
            <w:noProof/>
            <w:webHidden/>
          </w:rPr>
          <w:fldChar w:fldCharType="separate"/>
        </w:r>
        <w:r w:rsidR="00751545">
          <w:rPr>
            <w:noProof/>
            <w:webHidden/>
          </w:rPr>
          <w:t>I</w:t>
        </w:r>
        <w:r w:rsidR="00751545">
          <w:rPr>
            <w:noProof/>
            <w:webHidden/>
          </w:rPr>
          <w:fldChar w:fldCharType="end"/>
        </w:r>
      </w:hyperlink>
    </w:p>
    <w:p w:rsidR="00A02AD8" w:rsidRPr="0061020E" w:rsidRDefault="00033836" w:rsidP="008F6018">
      <w:pPr>
        <w:spacing w:after="120" w:line="240" w:lineRule="auto"/>
        <w:jc w:val="both"/>
        <w:rPr>
          <w:rFonts w:ascii="Rockwell" w:eastAsia="Arial Unicode MS" w:hAnsi="Rockwell" w:cs="Arial"/>
          <w:b/>
          <w:color w:val="999999"/>
          <w:sz w:val="24"/>
          <w:szCs w:val="24"/>
        </w:rPr>
      </w:pPr>
      <w:r>
        <w:rPr>
          <w:rFonts w:ascii="Rockwell" w:eastAsia="Arial Unicode MS" w:hAnsi="Rockwell" w:cs="Arial"/>
          <w:bCs/>
          <w:i/>
          <w:iCs/>
          <w:color w:val="999999"/>
          <w:sz w:val="24"/>
          <w:szCs w:val="24"/>
        </w:rPr>
        <w:fldChar w:fldCharType="end"/>
      </w:r>
    </w:p>
    <w:p w:rsidR="009C760C" w:rsidRDefault="009C760C" w:rsidP="008F6018">
      <w:pPr>
        <w:spacing w:after="120" w:line="240" w:lineRule="auto"/>
        <w:jc w:val="both"/>
        <w:rPr>
          <w:rFonts w:ascii="Rockwell" w:eastAsia="Arial Unicode MS" w:hAnsi="Rockwell" w:cs="Arial"/>
          <w:b/>
          <w:color w:val="999999"/>
          <w:sz w:val="24"/>
          <w:szCs w:val="24"/>
        </w:rPr>
      </w:pPr>
    </w:p>
    <w:p w:rsidR="00D72A04" w:rsidRDefault="00D72A04" w:rsidP="008F6018">
      <w:pPr>
        <w:pStyle w:val="Titre1"/>
        <w:spacing w:after="120"/>
        <w:jc w:val="both"/>
        <w:rPr>
          <w:rFonts w:ascii="Rockwell" w:hAnsi="Rockwell"/>
        </w:rPr>
      </w:pPr>
    </w:p>
    <w:p w:rsidR="005D5656" w:rsidRPr="005D5656" w:rsidRDefault="005D5656" w:rsidP="005D5656">
      <w:pPr>
        <w:rPr>
          <w:lang w:eastAsia="fr-FR"/>
        </w:rPr>
      </w:pPr>
    </w:p>
    <w:p w:rsidR="006847BA" w:rsidRPr="00033836" w:rsidRDefault="006847BA" w:rsidP="008F6018">
      <w:pPr>
        <w:pStyle w:val="Titre1"/>
        <w:spacing w:after="120"/>
        <w:jc w:val="both"/>
        <w:rPr>
          <w:rFonts w:ascii="Rockwell" w:hAnsi="Rockwell"/>
        </w:rPr>
      </w:pPr>
      <w:bookmarkStart w:id="0" w:name="_Toc503784915"/>
      <w:bookmarkStart w:id="1" w:name="_Toc505063253"/>
      <w:r w:rsidRPr="00033836">
        <w:rPr>
          <w:rFonts w:ascii="Rockwell" w:hAnsi="Rockwell"/>
        </w:rPr>
        <w:lastRenderedPageBreak/>
        <w:t>LISTE DES ABREVIATIONS</w:t>
      </w:r>
      <w:bookmarkEnd w:id="0"/>
      <w:bookmarkEnd w:id="1"/>
    </w:p>
    <w:p w:rsidR="006847BA" w:rsidRPr="0061020E" w:rsidRDefault="006847BA" w:rsidP="008F6018">
      <w:pPr>
        <w:spacing w:after="120" w:line="240" w:lineRule="auto"/>
        <w:jc w:val="both"/>
        <w:rPr>
          <w:rFonts w:ascii="Rockwell" w:hAnsi="Rockwell" w:cs="Estrangelo Edessa"/>
          <w:b/>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796"/>
      </w:tblGrid>
      <w:tr w:rsidR="006847BA" w:rsidRPr="005F47F6" w:rsidTr="009100B0">
        <w:tc>
          <w:tcPr>
            <w:tcW w:w="2093"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ABMAQ</w:t>
            </w:r>
          </w:p>
        </w:tc>
        <w:tc>
          <w:tcPr>
            <w:tcW w:w="7796"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 xml:space="preserve">: Association </w:t>
            </w:r>
            <w:r w:rsidR="00313366" w:rsidRPr="005F47F6">
              <w:rPr>
                <w:rFonts w:ascii="Rockwell" w:hAnsi="Rockwell" w:cs="Estrangelo Edessa"/>
                <w:sz w:val="24"/>
                <w:szCs w:val="24"/>
              </w:rPr>
              <w:t>burkinabè du management de la qualité </w:t>
            </w:r>
          </w:p>
        </w:tc>
      </w:tr>
      <w:tr w:rsidR="006847BA" w:rsidRPr="005F47F6" w:rsidTr="009100B0">
        <w:tc>
          <w:tcPr>
            <w:tcW w:w="2093"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ABNORM</w:t>
            </w:r>
          </w:p>
        </w:tc>
        <w:tc>
          <w:tcPr>
            <w:tcW w:w="7796"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 xml:space="preserve">: Agence </w:t>
            </w:r>
            <w:r w:rsidR="00313366" w:rsidRPr="005F47F6">
              <w:rPr>
                <w:rFonts w:ascii="Rockwell" w:hAnsi="Rockwell" w:cs="Estrangelo Edessa"/>
                <w:sz w:val="24"/>
                <w:szCs w:val="24"/>
              </w:rPr>
              <w:t xml:space="preserve">burkinabè de normalisation, de </w:t>
            </w:r>
            <w:r w:rsidR="00313366">
              <w:rPr>
                <w:rFonts w:ascii="Rockwell" w:hAnsi="Rockwell" w:cs="Estrangelo Edessa"/>
                <w:sz w:val="24"/>
                <w:szCs w:val="24"/>
              </w:rPr>
              <w:t>la métrologie et de la qualité</w:t>
            </w:r>
          </w:p>
        </w:tc>
      </w:tr>
      <w:tr w:rsidR="006847BA" w:rsidRPr="005F47F6" w:rsidTr="009100B0">
        <w:tc>
          <w:tcPr>
            <w:tcW w:w="2093"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APEX-Burkina</w:t>
            </w:r>
          </w:p>
        </w:tc>
        <w:tc>
          <w:tcPr>
            <w:tcW w:w="7796" w:type="dxa"/>
          </w:tcPr>
          <w:p w:rsidR="006847BA" w:rsidRPr="005F47F6" w:rsidRDefault="006847BA" w:rsidP="00313366">
            <w:pPr>
              <w:spacing w:after="120" w:line="240" w:lineRule="auto"/>
              <w:jc w:val="both"/>
              <w:rPr>
                <w:rFonts w:ascii="Rockwell" w:hAnsi="Rockwell" w:cs="Estrangelo Edessa"/>
                <w:sz w:val="24"/>
                <w:szCs w:val="24"/>
              </w:rPr>
            </w:pPr>
            <w:r w:rsidRPr="005F47F6">
              <w:rPr>
                <w:rFonts w:ascii="Rockwell" w:hAnsi="Rockwell" w:cs="Estrangelo Edessa"/>
                <w:sz w:val="24"/>
                <w:szCs w:val="24"/>
              </w:rPr>
              <w:t xml:space="preserve">: Agence </w:t>
            </w:r>
            <w:r w:rsidR="00313366" w:rsidRPr="005F47F6">
              <w:rPr>
                <w:rFonts w:ascii="Rockwell" w:hAnsi="Rockwell" w:cs="Estrangelo Edessa"/>
                <w:sz w:val="24"/>
                <w:szCs w:val="24"/>
              </w:rPr>
              <w:t xml:space="preserve">pour la promotion des exportations du </w:t>
            </w:r>
            <w:r w:rsidR="00313366">
              <w:rPr>
                <w:rFonts w:ascii="Rockwell" w:hAnsi="Rockwell" w:cs="Estrangelo Edessa"/>
                <w:sz w:val="24"/>
                <w:szCs w:val="24"/>
              </w:rPr>
              <w:t>Burkina</w:t>
            </w:r>
          </w:p>
        </w:tc>
      </w:tr>
    </w:tbl>
    <w:tbl>
      <w:tblPr>
        <w:tblStyle w:val="Grilledutableau"/>
        <w:tblW w:w="9889" w:type="dxa"/>
        <w:tblLook w:val="04A0" w:firstRow="1" w:lastRow="0" w:firstColumn="1" w:lastColumn="0" w:noHBand="0" w:noVBand="1"/>
      </w:tblPr>
      <w:tblGrid>
        <w:gridCol w:w="2093"/>
        <w:gridCol w:w="7796"/>
      </w:tblGrid>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ARCOP</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Autorité </w:t>
            </w:r>
            <w:r w:rsidR="00313366" w:rsidRPr="005F47F6">
              <w:rPr>
                <w:rFonts w:ascii="Rockwell" w:hAnsi="Rockwell" w:cs="Estrangelo Edessa"/>
                <w:sz w:val="24"/>
                <w:szCs w:val="24"/>
              </w:rPr>
              <w:t xml:space="preserve">de </w:t>
            </w:r>
            <w:r w:rsidR="00313366">
              <w:rPr>
                <w:rFonts w:ascii="Rockwell" w:hAnsi="Rockwell" w:cs="Estrangelo Edessa"/>
                <w:sz w:val="24"/>
                <w:szCs w:val="24"/>
              </w:rPr>
              <w:t>r</w:t>
            </w:r>
            <w:r w:rsidR="00313366" w:rsidRPr="005F47F6">
              <w:rPr>
                <w:rFonts w:ascii="Rockwell" w:hAnsi="Rockwell" w:cs="Estrangelo Edessa"/>
                <w:sz w:val="24"/>
                <w:szCs w:val="24"/>
              </w:rPr>
              <w:t xml:space="preserve">égulation de la </w:t>
            </w:r>
            <w:r w:rsidR="00313366">
              <w:rPr>
                <w:rFonts w:ascii="Rockwell" w:hAnsi="Rockwell" w:cs="Estrangelo Edessa"/>
                <w:sz w:val="24"/>
                <w:szCs w:val="24"/>
              </w:rPr>
              <w:t>c</w:t>
            </w:r>
            <w:r w:rsidR="00313366" w:rsidRPr="005F47F6">
              <w:rPr>
                <w:rFonts w:ascii="Rockwell" w:hAnsi="Rockwell" w:cs="Estrangelo Edessa"/>
                <w:sz w:val="24"/>
                <w:szCs w:val="24"/>
              </w:rPr>
              <w:t xml:space="preserve">ommande </w:t>
            </w:r>
            <w:r w:rsidR="00313366">
              <w:rPr>
                <w:rFonts w:ascii="Rockwell" w:hAnsi="Rockwell" w:cs="Estrangelo Edessa"/>
                <w:sz w:val="24"/>
                <w:szCs w:val="24"/>
              </w:rPr>
              <w:t>publique</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BPF</w:t>
            </w:r>
          </w:p>
        </w:tc>
        <w:tc>
          <w:tcPr>
            <w:tcW w:w="7796" w:type="dxa"/>
          </w:tcPr>
          <w:p w:rsidR="006847BA" w:rsidRPr="005F47F6" w:rsidRDefault="000F39F9" w:rsidP="008F6018">
            <w:pPr>
              <w:spacing w:after="120"/>
              <w:jc w:val="both"/>
              <w:rPr>
                <w:rFonts w:ascii="Rockwell" w:hAnsi="Rockwell" w:cs="Estrangelo Edessa"/>
                <w:sz w:val="24"/>
                <w:szCs w:val="24"/>
              </w:rPr>
            </w:pPr>
            <w:r>
              <w:rPr>
                <w:rFonts w:ascii="Rockwell" w:hAnsi="Rockwell" w:cs="Estrangelo Edessa"/>
                <w:sz w:val="24"/>
                <w:szCs w:val="24"/>
              </w:rPr>
              <w:t>:</w:t>
            </w:r>
            <w:r w:rsidR="005F47F6" w:rsidRPr="005F47F6">
              <w:rPr>
                <w:rFonts w:ascii="Rockwell" w:hAnsi="Rockwell" w:cs="Estrangelo Edessa"/>
                <w:sz w:val="24"/>
                <w:szCs w:val="24"/>
              </w:rPr>
              <w:t xml:space="preserve"> Bonnes </w:t>
            </w:r>
            <w:r w:rsidR="00313366" w:rsidRPr="005F47F6">
              <w:rPr>
                <w:rFonts w:ascii="Rockwell" w:hAnsi="Rockwell" w:cs="Estrangelo Edessa"/>
                <w:sz w:val="24"/>
                <w:szCs w:val="24"/>
              </w:rPr>
              <w:t>pratiques de fabrication</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CCAG</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Cahier </w:t>
            </w:r>
            <w:r w:rsidR="00313366" w:rsidRPr="005F47F6">
              <w:rPr>
                <w:rFonts w:ascii="Rockwell" w:hAnsi="Rockwell" w:cs="Estrangelo Edessa"/>
                <w:sz w:val="24"/>
                <w:szCs w:val="24"/>
              </w:rPr>
              <w:t xml:space="preserve">des </w:t>
            </w:r>
            <w:r w:rsidR="00313366">
              <w:rPr>
                <w:rFonts w:ascii="Rockwell" w:hAnsi="Rockwell" w:cs="Estrangelo Edessa"/>
                <w:sz w:val="24"/>
                <w:szCs w:val="24"/>
              </w:rPr>
              <w:t>c</w:t>
            </w:r>
            <w:r w:rsidR="00313366" w:rsidRPr="005F47F6">
              <w:rPr>
                <w:rFonts w:ascii="Rockwell" w:hAnsi="Rockwell" w:cs="Estrangelo Edessa"/>
                <w:sz w:val="24"/>
                <w:szCs w:val="24"/>
              </w:rPr>
              <w:t xml:space="preserve">lauses </w:t>
            </w:r>
            <w:r w:rsidR="00313366">
              <w:rPr>
                <w:rFonts w:ascii="Rockwell" w:hAnsi="Rockwell" w:cs="Estrangelo Edessa"/>
                <w:sz w:val="24"/>
                <w:szCs w:val="24"/>
              </w:rPr>
              <w:t>a</w:t>
            </w:r>
            <w:r w:rsidR="00313366" w:rsidRPr="005F47F6">
              <w:rPr>
                <w:rFonts w:ascii="Rockwell" w:hAnsi="Rockwell" w:cs="Estrangelo Edessa"/>
                <w:sz w:val="24"/>
                <w:szCs w:val="24"/>
              </w:rPr>
              <w:t xml:space="preserve">dministratives </w:t>
            </w:r>
            <w:r w:rsidR="00313366">
              <w:rPr>
                <w:rFonts w:ascii="Rockwell" w:hAnsi="Rockwell" w:cs="Estrangelo Edessa"/>
                <w:sz w:val="24"/>
                <w:szCs w:val="24"/>
              </w:rPr>
              <w:t>générales</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CCTP</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Cahier </w:t>
            </w:r>
            <w:r w:rsidR="00313366" w:rsidRPr="005F47F6">
              <w:rPr>
                <w:rFonts w:ascii="Rockwell" w:hAnsi="Rockwell" w:cs="Estrangelo Edessa"/>
                <w:sz w:val="24"/>
                <w:szCs w:val="24"/>
              </w:rPr>
              <w:t xml:space="preserve">des </w:t>
            </w:r>
            <w:r w:rsidR="00313366">
              <w:rPr>
                <w:rFonts w:ascii="Rockwell" w:hAnsi="Rockwell" w:cs="Estrangelo Edessa"/>
                <w:sz w:val="24"/>
                <w:szCs w:val="24"/>
              </w:rPr>
              <w:t>c</w:t>
            </w:r>
            <w:r w:rsidR="00313366" w:rsidRPr="005F47F6">
              <w:rPr>
                <w:rFonts w:ascii="Rockwell" w:hAnsi="Rockwell" w:cs="Estrangelo Edessa"/>
                <w:sz w:val="24"/>
                <w:szCs w:val="24"/>
              </w:rPr>
              <w:t xml:space="preserve">lauses </w:t>
            </w:r>
            <w:r w:rsidR="00313366">
              <w:rPr>
                <w:rFonts w:ascii="Rockwell" w:hAnsi="Rockwell" w:cs="Estrangelo Edessa"/>
                <w:sz w:val="24"/>
                <w:szCs w:val="24"/>
              </w:rPr>
              <w:t>t</w:t>
            </w:r>
            <w:r w:rsidR="00313366" w:rsidRPr="005F47F6">
              <w:rPr>
                <w:rFonts w:ascii="Rockwell" w:hAnsi="Rockwell" w:cs="Estrangelo Edessa"/>
                <w:sz w:val="24"/>
                <w:szCs w:val="24"/>
              </w:rPr>
              <w:t xml:space="preserve">echniques </w:t>
            </w:r>
            <w:r w:rsidR="00313366">
              <w:rPr>
                <w:rFonts w:ascii="Rockwell" w:hAnsi="Rockwell" w:cs="Estrangelo Edessa"/>
                <w:sz w:val="24"/>
                <w:szCs w:val="24"/>
              </w:rPr>
              <w:t>particulières</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CEI</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w:t>
            </w:r>
            <w:r w:rsidR="005F47F6" w:rsidRPr="005F47F6">
              <w:rPr>
                <w:rFonts w:ascii="Rockwell" w:hAnsi="Rockwell" w:cs="Estrangelo Edessa"/>
                <w:sz w:val="24"/>
                <w:szCs w:val="24"/>
              </w:rPr>
              <w:t xml:space="preserve">Commission </w:t>
            </w:r>
            <w:r w:rsidR="00313366">
              <w:rPr>
                <w:rFonts w:ascii="Rockwell" w:hAnsi="Rockwell" w:cs="Estrangelo Edessa"/>
                <w:sz w:val="24"/>
                <w:szCs w:val="24"/>
              </w:rPr>
              <w:t>électrotechnique internationale</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CIPV</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w:t>
            </w:r>
            <w:r w:rsidRPr="005F47F6">
              <w:rPr>
                <w:rFonts w:ascii="Rockwell" w:hAnsi="Rockwell"/>
                <w:iCs/>
                <w:sz w:val="24"/>
                <w:szCs w:val="24"/>
              </w:rPr>
              <w:t xml:space="preserve">Convention </w:t>
            </w:r>
            <w:r w:rsidR="00313366" w:rsidRPr="005F47F6">
              <w:rPr>
                <w:rFonts w:ascii="Rockwell" w:hAnsi="Rockwell"/>
                <w:iCs/>
                <w:sz w:val="24"/>
                <w:szCs w:val="24"/>
              </w:rPr>
              <w:t xml:space="preserve">internationale </w:t>
            </w:r>
            <w:r w:rsidR="00313366">
              <w:rPr>
                <w:rFonts w:ascii="Rockwell" w:hAnsi="Rockwell"/>
                <w:iCs/>
                <w:sz w:val="24"/>
                <w:szCs w:val="24"/>
              </w:rPr>
              <w:t>pour la protection des végétaux</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sz w:val="24"/>
                <w:szCs w:val="24"/>
              </w:rPr>
              <w:t>COFRAC</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w:t>
            </w:r>
            <w:r w:rsidR="005F47F6" w:rsidRPr="005F47F6">
              <w:rPr>
                <w:rFonts w:ascii="Rockwell" w:hAnsi="Rockwell" w:cs="Estrangelo Edessa"/>
                <w:sz w:val="24"/>
                <w:szCs w:val="24"/>
              </w:rPr>
              <w:t xml:space="preserve">Comité </w:t>
            </w:r>
            <w:r w:rsidR="00313366">
              <w:rPr>
                <w:rFonts w:ascii="Rockwell" w:hAnsi="Rockwell" w:cs="Estrangelo Edessa"/>
                <w:sz w:val="24"/>
                <w:szCs w:val="24"/>
              </w:rPr>
              <w:t>français d’accréditation</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iCs/>
                <w:sz w:val="24"/>
                <w:szCs w:val="24"/>
              </w:rPr>
              <w:t>CSQ</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w:t>
            </w:r>
            <w:r w:rsidRPr="005F47F6">
              <w:rPr>
                <w:rFonts w:ascii="Rockwell" w:hAnsi="Rockwell"/>
                <w:iCs/>
                <w:sz w:val="24"/>
                <w:szCs w:val="24"/>
              </w:rPr>
              <w:t xml:space="preserve">Conseil </w:t>
            </w:r>
            <w:r w:rsidR="00313366">
              <w:rPr>
                <w:rFonts w:ascii="Rockwell" w:hAnsi="Rockwell"/>
                <w:iCs/>
                <w:sz w:val="24"/>
                <w:szCs w:val="24"/>
              </w:rPr>
              <w:t>supérieur de la qualité</w:t>
            </w:r>
          </w:p>
        </w:tc>
      </w:tr>
      <w:tr w:rsidR="005F47F6" w:rsidRPr="005F47F6" w:rsidTr="006847BA">
        <w:tc>
          <w:tcPr>
            <w:tcW w:w="2093" w:type="dxa"/>
          </w:tcPr>
          <w:p w:rsidR="005F47F6" w:rsidRPr="005F47F6" w:rsidRDefault="005F47F6" w:rsidP="008F6018">
            <w:pPr>
              <w:spacing w:after="120"/>
              <w:jc w:val="both"/>
              <w:rPr>
                <w:rFonts w:ascii="Rockwell" w:hAnsi="Rockwell"/>
                <w:iCs/>
                <w:sz w:val="24"/>
                <w:szCs w:val="24"/>
              </w:rPr>
            </w:pPr>
            <w:r w:rsidRPr="005F47F6">
              <w:rPr>
                <w:rFonts w:ascii="Rockwell" w:hAnsi="Rockwell"/>
                <w:iCs/>
                <w:sz w:val="24"/>
                <w:szCs w:val="24"/>
              </w:rPr>
              <w:t>EN</w:t>
            </w:r>
          </w:p>
        </w:tc>
        <w:tc>
          <w:tcPr>
            <w:tcW w:w="7796" w:type="dxa"/>
          </w:tcPr>
          <w:p w:rsidR="005F47F6" w:rsidRPr="005F47F6" w:rsidRDefault="005F47F6"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Norme </w:t>
            </w:r>
            <w:r w:rsidR="00313366" w:rsidRPr="005F47F6">
              <w:rPr>
                <w:rFonts w:ascii="Rockwell" w:hAnsi="Rockwell" w:cs="Estrangelo Edessa"/>
                <w:sz w:val="24"/>
                <w:szCs w:val="24"/>
              </w:rPr>
              <w:t xml:space="preserve">européenne </w:t>
            </w:r>
          </w:p>
        </w:tc>
      </w:tr>
      <w:tr w:rsidR="005F47F6" w:rsidRPr="005F47F6" w:rsidTr="006847BA">
        <w:tc>
          <w:tcPr>
            <w:tcW w:w="2093" w:type="dxa"/>
          </w:tcPr>
          <w:p w:rsidR="005F47F6" w:rsidRPr="005F47F6" w:rsidRDefault="005F47F6" w:rsidP="008F6018">
            <w:pPr>
              <w:spacing w:after="120"/>
              <w:jc w:val="both"/>
              <w:rPr>
                <w:rFonts w:ascii="Rockwell" w:hAnsi="Rockwell"/>
                <w:iCs/>
                <w:sz w:val="24"/>
                <w:szCs w:val="24"/>
              </w:rPr>
            </w:pPr>
            <w:r w:rsidRPr="005F47F6">
              <w:rPr>
                <w:rFonts w:ascii="Rockwell" w:hAnsi="Rockwell"/>
                <w:iCs/>
                <w:sz w:val="24"/>
                <w:szCs w:val="24"/>
              </w:rPr>
              <w:t>FAO</w:t>
            </w:r>
          </w:p>
        </w:tc>
        <w:tc>
          <w:tcPr>
            <w:tcW w:w="7796" w:type="dxa"/>
          </w:tcPr>
          <w:p w:rsidR="005F47F6" w:rsidRPr="005F47F6" w:rsidRDefault="005F47F6"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Programme </w:t>
            </w:r>
            <w:r w:rsidR="00313366" w:rsidRPr="005F47F6">
              <w:rPr>
                <w:rFonts w:ascii="Rockwell" w:hAnsi="Rockwell" w:cs="Estrangelo Edessa"/>
                <w:sz w:val="24"/>
                <w:szCs w:val="24"/>
              </w:rPr>
              <w:t>des nations unies pour l’agriculture et l’alimentation</w:t>
            </w:r>
          </w:p>
        </w:tc>
      </w:tr>
      <w:tr w:rsidR="005F47F6" w:rsidRPr="005F47F6" w:rsidTr="006847BA">
        <w:tc>
          <w:tcPr>
            <w:tcW w:w="2093" w:type="dxa"/>
          </w:tcPr>
          <w:p w:rsidR="005F47F6" w:rsidRPr="005F47F6" w:rsidRDefault="005F47F6" w:rsidP="008F6018">
            <w:pPr>
              <w:spacing w:after="120"/>
              <w:jc w:val="both"/>
              <w:rPr>
                <w:rFonts w:ascii="Rockwell" w:hAnsi="Rockwell"/>
                <w:iCs/>
                <w:sz w:val="24"/>
                <w:szCs w:val="24"/>
              </w:rPr>
            </w:pPr>
            <w:r w:rsidRPr="005F47F6">
              <w:rPr>
                <w:rFonts w:ascii="Rockwell" w:hAnsi="Rockwell"/>
                <w:iCs/>
                <w:sz w:val="24"/>
                <w:szCs w:val="24"/>
              </w:rPr>
              <w:t>ISO</w:t>
            </w:r>
          </w:p>
        </w:tc>
        <w:tc>
          <w:tcPr>
            <w:tcW w:w="7796" w:type="dxa"/>
          </w:tcPr>
          <w:p w:rsidR="005F47F6" w:rsidRPr="005F47F6" w:rsidRDefault="005F47F6"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Organisation </w:t>
            </w:r>
            <w:r w:rsidR="00313366" w:rsidRPr="005F47F6">
              <w:rPr>
                <w:rFonts w:ascii="Rockwell" w:hAnsi="Rockwell" w:cs="Estrangelo Edessa"/>
                <w:sz w:val="24"/>
                <w:szCs w:val="24"/>
              </w:rPr>
              <w:t>internationale de normalisation</w:t>
            </w:r>
          </w:p>
        </w:tc>
      </w:tr>
    </w:tbl>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796"/>
      </w:tblGrid>
      <w:tr w:rsidR="006847BA" w:rsidRPr="005F47F6" w:rsidTr="006847BA">
        <w:trPr>
          <w:trHeight w:val="70"/>
        </w:trPr>
        <w:tc>
          <w:tcPr>
            <w:tcW w:w="2093"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LNBTP</w:t>
            </w:r>
          </w:p>
        </w:tc>
        <w:tc>
          <w:tcPr>
            <w:tcW w:w="7796" w:type="dxa"/>
          </w:tcPr>
          <w:p w:rsidR="006847BA" w:rsidRPr="005F47F6" w:rsidRDefault="006847BA" w:rsidP="008F6018">
            <w:pPr>
              <w:spacing w:after="120" w:line="240" w:lineRule="auto"/>
              <w:jc w:val="both"/>
              <w:rPr>
                <w:rFonts w:ascii="Rockwell" w:hAnsi="Rockwell" w:cs="Estrangelo Edessa"/>
                <w:sz w:val="24"/>
                <w:szCs w:val="24"/>
              </w:rPr>
            </w:pPr>
            <w:r w:rsidRPr="005F47F6">
              <w:rPr>
                <w:rFonts w:ascii="Rockwell" w:hAnsi="Rockwell" w:cs="Estrangelo Edessa"/>
                <w:sz w:val="24"/>
                <w:szCs w:val="24"/>
              </w:rPr>
              <w:t xml:space="preserve">: Laboratoire </w:t>
            </w:r>
            <w:r w:rsidR="00313366" w:rsidRPr="005F47F6">
              <w:rPr>
                <w:rFonts w:ascii="Rockwell" w:hAnsi="Rockwell" w:cs="Estrangelo Edessa"/>
                <w:sz w:val="24"/>
                <w:szCs w:val="24"/>
              </w:rPr>
              <w:t>national  du b</w:t>
            </w:r>
            <w:r w:rsidR="00313366">
              <w:rPr>
                <w:rFonts w:ascii="Rockwell" w:hAnsi="Rockwell" w:cs="Estrangelo Edessa"/>
                <w:sz w:val="24"/>
                <w:szCs w:val="24"/>
              </w:rPr>
              <w:t>âtiment et des travaux publics</w:t>
            </w:r>
          </w:p>
        </w:tc>
      </w:tr>
    </w:tbl>
    <w:tbl>
      <w:tblPr>
        <w:tblStyle w:val="Grilledutableau"/>
        <w:tblW w:w="9889" w:type="dxa"/>
        <w:tblLook w:val="04A0" w:firstRow="1" w:lastRow="0" w:firstColumn="1" w:lastColumn="0" w:noHBand="0" w:noVBand="1"/>
      </w:tblPr>
      <w:tblGrid>
        <w:gridCol w:w="2093"/>
        <w:gridCol w:w="7796"/>
      </w:tblGrid>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LNSP</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Laboratoire </w:t>
            </w:r>
            <w:r w:rsidR="00313366">
              <w:rPr>
                <w:rFonts w:ascii="Rockwell" w:hAnsi="Rockwell" w:cs="Estrangelo Edessa"/>
                <w:sz w:val="24"/>
                <w:szCs w:val="24"/>
              </w:rPr>
              <w:t>national de santé publique</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NBF</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w:t>
            </w:r>
            <w:r w:rsidR="00313366">
              <w:rPr>
                <w:rFonts w:ascii="Rockwell" w:hAnsi="Rockwell" w:cs="Estrangelo Edessa"/>
                <w:sz w:val="24"/>
                <w:szCs w:val="24"/>
              </w:rPr>
              <w:t>Norme du Burkina Faso</w:t>
            </w:r>
          </w:p>
        </w:tc>
      </w:tr>
      <w:tr w:rsidR="000F39F9" w:rsidRPr="005F47F6" w:rsidTr="00C27000">
        <w:tc>
          <w:tcPr>
            <w:tcW w:w="2093" w:type="dxa"/>
          </w:tcPr>
          <w:p w:rsidR="000F39F9" w:rsidRPr="005F47F6" w:rsidRDefault="000F39F9" w:rsidP="008F6018">
            <w:pPr>
              <w:spacing w:after="120"/>
              <w:jc w:val="both"/>
              <w:rPr>
                <w:rFonts w:ascii="Rockwell" w:hAnsi="Rockwell" w:cs="Estrangelo Edessa"/>
                <w:sz w:val="24"/>
                <w:szCs w:val="24"/>
              </w:rPr>
            </w:pPr>
            <w:r>
              <w:rPr>
                <w:rFonts w:ascii="Rockwell" w:hAnsi="Rockwell" w:cs="Estrangelo Edessa"/>
                <w:sz w:val="24"/>
                <w:szCs w:val="24"/>
              </w:rPr>
              <w:t>NF</w:t>
            </w:r>
          </w:p>
        </w:tc>
        <w:tc>
          <w:tcPr>
            <w:tcW w:w="7796" w:type="dxa"/>
          </w:tcPr>
          <w:p w:rsidR="000F39F9" w:rsidRPr="005F47F6" w:rsidRDefault="000F39F9" w:rsidP="008F6018">
            <w:pPr>
              <w:spacing w:after="120"/>
              <w:jc w:val="both"/>
              <w:rPr>
                <w:rFonts w:ascii="Rockwell" w:hAnsi="Rockwell" w:cs="Estrangelo Edessa"/>
                <w:sz w:val="24"/>
                <w:szCs w:val="24"/>
              </w:rPr>
            </w:pPr>
            <w:r>
              <w:rPr>
                <w:rFonts w:ascii="Rockwell" w:hAnsi="Rockwell" w:cs="Estrangelo Edessa"/>
                <w:sz w:val="24"/>
                <w:szCs w:val="24"/>
              </w:rPr>
              <w:t xml:space="preserve">: Norme </w:t>
            </w:r>
            <w:r w:rsidR="00313366">
              <w:rPr>
                <w:rFonts w:ascii="Rockwell" w:hAnsi="Rockwell" w:cs="Estrangelo Edessa"/>
                <w:sz w:val="24"/>
                <w:szCs w:val="24"/>
              </w:rPr>
              <w:t>française</w:t>
            </w:r>
          </w:p>
        </w:tc>
      </w:tr>
      <w:tr w:rsidR="006847BA" w:rsidRPr="005F47F6" w:rsidTr="006847BA">
        <w:tc>
          <w:tcPr>
            <w:tcW w:w="2093"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iCs/>
                <w:sz w:val="24"/>
                <w:szCs w:val="24"/>
              </w:rPr>
              <w:t>OMC</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Organisation </w:t>
            </w:r>
            <w:r w:rsidR="00313366" w:rsidRPr="005F47F6">
              <w:rPr>
                <w:rFonts w:ascii="Rockwell" w:hAnsi="Rockwell" w:cs="Estrangelo Edessa"/>
                <w:sz w:val="24"/>
                <w:szCs w:val="24"/>
              </w:rPr>
              <w:t xml:space="preserve">mondiale </w:t>
            </w:r>
            <w:r w:rsidR="00313366">
              <w:rPr>
                <w:rFonts w:ascii="Rockwell" w:hAnsi="Rockwell" w:cs="Estrangelo Edessa"/>
                <w:sz w:val="24"/>
                <w:szCs w:val="24"/>
              </w:rPr>
              <w:t>du commerce</w:t>
            </w:r>
          </w:p>
        </w:tc>
      </w:tr>
      <w:tr w:rsidR="006847BA" w:rsidRPr="005F47F6" w:rsidTr="006847BA">
        <w:tc>
          <w:tcPr>
            <w:tcW w:w="2093" w:type="dxa"/>
          </w:tcPr>
          <w:p w:rsidR="006847BA" w:rsidRPr="005F47F6" w:rsidRDefault="006847BA" w:rsidP="008F6018">
            <w:pPr>
              <w:spacing w:after="120"/>
              <w:jc w:val="both"/>
              <w:rPr>
                <w:rFonts w:ascii="Rockwell" w:hAnsi="Rockwell"/>
                <w:iCs/>
                <w:sz w:val="24"/>
                <w:szCs w:val="24"/>
              </w:rPr>
            </w:pPr>
            <w:r w:rsidRPr="005F47F6">
              <w:rPr>
                <w:rFonts w:ascii="Rockwell" w:hAnsi="Rockwell"/>
                <w:sz w:val="24"/>
                <w:szCs w:val="24"/>
              </w:rPr>
              <w:t>PAQ</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 xml:space="preserve">: Plan </w:t>
            </w:r>
            <w:r w:rsidR="00313366">
              <w:rPr>
                <w:rFonts w:ascii="Rockwell" w:hAnsi="Rockwell" w:cs="Estrangelo Edessa"/>
                <w:sz w:val="24"/>
                <w:szCs w:val="24"/>
              </w:rPr>
              <w:t xml:space="preserve">assurance qualité </w:t>
            </w:r>
          </w:p>
        </w:tc>
      </w:tr>
      <w:tr w:rsidR="006847BA" w:rsidRPr="005F47F6" w:rsidTr="006847BA">
        <w:tc>
          <w:tcPr>
            <w:tcW w:w="2093" w:type="dxa"/>
          </w:tcPr>
          <w:p w:rsidR="006847BA" w:rsidRPr="005F47F6" w:rsidRDefault="006847BA" w:rsidP="008F6018">
            <w:pPr>
              <w:spacing w:after="120"/>
              <w:jc w:val="both"/>
              <w:rPr>
                <w:rFonts w:ascii="Rockwell" w:hAnsi="Rockwell"/>
                <w:sz w:val="24"/>
                <w:szCs w:val="24"/>
              </w:rPr>
            </w:pPr>
            <w:r w:rsidRPr="005F47F6">
              <w:rPr>
                <w:rFonts w:ascii="Rockwell" w:hAnsi="Rockwell"/>
                <w:sz w:val="24"/>
                <w:szCs w:val="24"/>
              </w:rPr>
              <w:t>SMQ</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sz w:val="24"/>
                <w:szCs w:val="24"/>
              </w:rPr>
              <w:t xml:space="preserve">: Système </w:t>
            </w:r>
            <w:r w:rsidR="00313366">
              <w:rPr>
                <w:rFonts w:ascii="Rockwell" w:hAnsi="Rockwell"/>
                <w:sz w:val="24"/>
                <w:szCs w:val="24"/>
              </w:rPr>
              <w:t>de management de la qualité</w:t>
            </w:r>
          </w:p>
        </w:tc>
      </w:tr>
      <w:tr w:rsidR="006847BA" w:rsidRPr="005F47F6" w:rsidTr="006847BA">
        <w:tc>
          <w:tcPr>
            <w:tcW w:w="2093" w:type="dxa"/>
          </w:tcPr>
          <w:p w:rsidR="006847BA" w:rsidRPr="005F47F6" w:rsidRDefault="006847BA" w:rsidP="008F6018">
            <w:pPr>
              <w:spacing w:after="120"/>
              <w:jc w:val="both"/>
              <w:rPr>
                <w:rFonts w:ascii="Rockwell" w:hAnsi="Rockwell"/>
                <w:iCs/>
                <w:sz w:val="24"/>
                <w:szCs w:val="24"/>
              </w:rPr>
            </w:pPr>
            <w:r w:rsidRPr="005F47F6">
              <w:rPr>
                <w:rFonts w:ascii="Rockwell" w:hAnsi="Rockwell"/>
                <w:iCs/>
                <w:sz w:val="24"/>
                <w:szCs w:val="24"/>
              </w:rPr>
              <w:t>UEMOA</w:t>
            </w:r>
          </w:p>
        </w:tc>
        <w:tc>
          <w:tcPr>
            <w:tcW w:w="7796" w:type="dxa"/>
          </w:tcPr>
          <w:p w:rsidR="006847BA" w:rsidRPr="005F47F6" w:rsidRDefault="006847BA" w:rsidP="008F6018">
            <w:pPr>
              <w:spacing w:after="120"/>
              <w:jc w:val="both"/>
              <w:rPr>
                <w:rFonts w:ascii="Rockwell" w:hAnsi="Rockwell" w:cs="Estrangelo Edessa"/>
                <w:sz w:val="24"/>
                <w:szCs w:val="24"/>
              </w:rPr>
            </w:pPr>
            <w:r w:rsidRPr="005F47F6">
              <w:rPr>
                <w:rFonts w:ascii="Rockwell" w:hAnsi="Rockwell" w:cs="Estrangelo Edessa"/>
                <w:sz w:val="24"/>
                <w:szCs w:val="24"/>
              </w:rPr>
              <w:t>:</w:t>
            </w:r>
            <w:r w:rsidR="00313366">
              <w:rPr>
                <w:rFonts w:ascii="Rockwell" w:hAnsi="Rockwell" w:cs="Estrangelo Edessa"/>
                <w:sz w:val="24"/>
                <w:szCs w:val="24"/>
              </w:rPr>
              <w:t xml:space="preserve"> Union économique et monétaire </w:t>
            </w:r>
            <w:r w:rsidR="00AB7B50">
              <w:rPr>
                <w:rFonts w:ascii="Rockwell" w:hAnsi="Rockwell" w:cs="Estrangelo Edessa"/>
                <w:sz w:val="24"/>
                <w:szCs w:val="24"/>
              </w:rPr>
              <w:t xml:space="preserve">ouest africaine </w:t>
            </w:r>
          </w:p>
        </w:tc>
      </w:tr>
      <w:tr w:rsidR="006847BA" w:rsidRPr="005F47F6" w:rsidTr="006847BA">
        <w:tc>
          <w:tcPr>
            <w:tcW w:w="2093" w:type="dxa"/>
          </w:tcPr>
          <w:p w:rsidR="006847BA" w:rsidRPr="005F47F6" w:rsidRDefault="006847BA" w:rsidP="008F6018">
            <w:pPr>
              <w:spacing w:after="120"/>
              <w:jc w:val="both"/>
              <w:rPr>
                <w:rFonts w:ascii="Rockwell" w:hAnsi="Rockwell"/>
                <w:iCs/>
                <w:sz w:val="24"/>
                <w:szCs w:val="24"/>
              </w:rPr>
            </w:pPr>
            <w:r w:rsidRPr="005F47F6">
              <w:rPr>
                <w:rFonts w:ascii="Rockwell" w:hAnsi="Rockwell"/>
                <w:iCs/>
                <w:sz w:val="24"/>
                <w:szCs w:val="24"/>
              </w:rPr>
              <w:t>UIT</w:t>
            </w:r>
          </w:p>
        </w:tc>
        <w:tc>
          <w:tcPr>
            <w:tcW w:w="7796" w:type="dxa"/>
          </w:tcPr>
          <w:p w:rsidR="006847BA" w:rsidRPr="005F47F6" w:rsidRDefault="006847BA" w:rsidP="008F6018">
            <w:pPr>
              <w:tabs>
                <w:tab w:val="left" w:pos="5202"/>
              </w:tabs>
              <w:spacing w:after="120"/>
              <w:jc w:val="both"/>
              <w:rPr>
                <w:rFonts w:ascii="Rockwell" w:hAnsi="Rockwell" w:cs="Estrangelo Edessa"/>
                <w:sz w:val="24"/>
                <w:szCs w:val="24"/>
              </w:rPr>
            </w:pPr>
            <w:r w:rsidRPr="005F47F6">
              <w:rPr>
                <w:rFonts w:ascii="Rockwell" w:hAnsi="Rockwell" w:cs="Estrangelo Edessa"/>
                <w:sz w:val="24"/>
                <w:szCs w:val="24"/>
              </w:rPr>
              <w:t xml:space="preserve">: </w:t>
            </w:r>
            <w:r w:rsidR="005F47F6" w:rsidRPr="005F47F6">
              <w:rPr>
                <w:rFonts w:ascii="Rockwell" w:hAnsi="Rockwell" w:cs="Estrangelo Edessa"/>
                <w:sz w:val="24"/>
                <w:szCs w:val="24"/>
              </w:rPr>
              <w:t xml:space="preserve">Union </w:t>
            </w:r>
            <w:r w:rsidR="00313366" w:rsidRPr="005F47F6">
              <w:rPr>
                <w:rFonts w:ascii="Rockwell" w:hAnsi="Rockwell" w:cs="Estrangelo Edessa"/>
                <w:sz w:val="24"/>
                <w:szCs w:val="24"/>
              </w:rPr>
              <w:t>interna</w:t>
            </w:r>
            <w:r w:rsidR="00313366">
              <w:rPr>
                <w:rFonts w:ascii="Rockwell" w:hAnsi="Rockwell" w:cs="Estrangelo Edessa"/>
                <w:sz w:val="24"/>
                <w:szCs w:val="24"/>
              </w:rPr>
              <w:t>tionale des télécommunications</w:t>
            </w:r>
          </w:p>
        </w:tc>
      </w:tr>
    </w:tbl>
    <w:p w:rsidR="006847BA" w:rsidRPr="005F47F6" w:rsidRDefault="006847BA" w:rsidP="008F6018">
      <w:pPr>
        <w:spacing w:after="120" w:line="240" w:lineRule="auto"/>
        <w:jc w:val="both"/>
        <w:rPr>
          <w:rFonts w:ascii="Rockwell" w:hAnsi="Rockwell"/>
          <w:sz w:val="24"/>
          <w:szCs w:val="24"/>
        </w:rPr>
      </w:pPr>
    </w:p>
    <w:p w:rsidR="0015251B" w:rsidRPr="005F47F6" w:rsidRDefault="0015251B" w:rsidP="008F6018">
      <w:pPr>
        <w:spacing w:after="120" w:line="240" w:lineRule="auto"/>
        <w:jc w:val="both"/>
        <w:rPr>
          <w:rFonts w:ascii="Rockwell" w:hAnsi="Rockwell" w:cs="Estrangelo Edessa"/>
          <w:sz w:val="24"/>
          <w:szCs w:val="24"/>
        </w:rPr>
      </w:pPr>
    </w:p>
    <w:p w:rsidR="008F2A77" w:rsidRDefault="008F2A77" w:rsidP="008F6018">
      <w:pPr>
        <w:spacing w:after="120" w:line="240" w:lineRule="auto"/>
        <w:jc w:val="both"/>
        <w:rPr>
          <w:rFonts w:ascii="Rockwell" w:hAnsi="Rockwell" w:cs="Estrangelo Edessa"/>
          <w:sz w:val="24"/>
          <w:szCs w:val="24"/>
        </w:rPr>
        <w:sectPr w:rsidR="008F2A77" w:rsidSect="00F05914">
          <w:footerReference w:type="first" r:id="rId11"/>
          <w:pgSz w:w="11906" w:h="16838"/>
          <w:pgMar w:top="851" w:right="1247" w:bottom="851" w:left="1247" w:header="709" w:footer="709" w:gutter="0"/>
          <w:pgNumType w:fmt="upperRoman" w:start="1"/>
          <w:cols w:space="708"/>
          <w:titlePg/>
          <w:docGrid w:linePitch="360"/>
        </w:sectPr>
      </w:pPr>
    </w:p>
    <w:p w:rsidR="008F2A77" w:rsidRDefault="008F2A77" w:rsidP="008F6018">
      <w:pPr>
        <w:spacing w:after="120" w:line="240" w:lineRule="auto"/>
        <w:jc w:val="both"/>
        <w:rPr>
          <w:rFonts w:ascii="Rockwell" w:hAnsi="Rockwell" w:cs="Estrangelo Edessa"/>
          <w:sz w:val="24"/>
          <w:szCs w:val="24"/>
        </w:rPr>
        <w:sectPr w:rsidR="008F2A77" w:rsidSect="00F05914">
          <w:type w:val="continuous"/>
          <w:pgSz w:w="11906" w:h="16838"/>
          <w:pgMar w:top="851" w:right="1247" w:bottom="851" w:left="1247" w:header="709" w:footer="709" w:gutter="0"/>
          <w:cols w:space="708"/>
          <w:titlePg/>
          <w:docGrid w:linePitch="360"/>
        </w:sectPr>
      </w:pPr>
    </w:p>
    <w:p w:rsidR="00DF546B" w:rsidRPr="00033836" w:rsidRDefault="00DF546B" w:rsidP="008F6018">
      <w:pPr>
        <w:pStyle w:val="Titre1"/>
        <w:spacing w:after="120"/>
        <w:jc w:val="both"/>
        <w:rPr>
          <w:rFonts w:ascii="Rockwell" w:hAnsi="Rockwell"/>
        </w:rPr>
      </w:pPr>
      <w:bookmarkStart w:id="2" w:name="_Toc503784916"/>
      <w:bookmarkStart w:id="3" w:name="_Toc505063254"/>
      <w:r w:rsidRPr="00033836">
        <w:rPr>
          <w:rFonts w:ascii="Rockwell" w:hAnsi="Rockwell"/>
        </w:rPr>
        <w:lastRenderedPageBreak/>
        <w:t>INTRODUCTION</w:t>
      </w:r>
      <w:bookmarkEnd w:id="2"/>
      <w:bookmarkEnd w:id="3"/>
    </w:p>
    <w:p w:rsidR="00033836" w:rsidRPr="00033836" w:rsidRDefault="00033836" w:rsidP="008F6018">
      <w:pPr>
        <w:spacing w:after="120" w:line="240" w:lineRule="auto"/>
        <w:jc w:val="both"/>
        <w:rPr>
          <w:lang w:eastAsia="fr-FR"/>
        </w:rPr>
      </w:pPr>
    </w:p>
    <w:p w:rsidR="000B58B3" w:rsidRDefault="00DF546B"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 xml:space="preserve">Ce document est destiné à servir de guide aux acheteurs publics en matière de qualité. Il fournit des conseils auxquels pourront se référer ces acheteurs pour passer leurs contrats dans les conditions imposées par la concurrence. II ne constitue pas un texte </w:t>
      </w:r>
      <w:r w:rsidR="00D4054B" w:rsidRPr="0061020E">
        <w:rPr>
          <w:rFonts w:ascii="Rockwell" w:hAnsi="Rockwell" w:cs="Estrangelo Edessa"/>
          <w:sz w:val="24"/>
          <w:szCs w:val="24"/>
        </w:rPr>
        <w:t>à</w:t>
      </w:r>
      <w:r w:rsidRPr="0061020E">
        <w:rPr>
          <w:rFonts w:ascii="Rockwell" w:hAnsi="Rockwell" w:cs="Estrangelo Edessa"/>
          <w:sz w:val="24"/>
          <w:szCs w:val="24"/>
        </w:rPr>
        <w:t xml:space="preserve"> caractère r</w:t>
      </w:r>
      <w:r w:rsidR="00454A5E">
        <w:rPr>
          <w:rFonts w:ascii="Rockwell" w:hAnsi="Rockwell" w:cs="Estrangelo Edessa"/>
          <w:sz w:val="24"/>
          <w:szCs w:val="24"/>
        </w:rPr>
        <w:t>é</w:t>
      </w:r>
      <w:r w:rsidRPr="0061020E">
        <w:rPr>
          <w:rFonts w:ascii="Rockwell" w:hAnsi="Rockwell" w:cs="Estrangelo Edessa"/>
          <w:sz w:val="24"/>
          <w:szCs w:val="24"/>
        </w:rPr>
        <w:t>glementaire et ne s</w:t>
      </w:r>
      <w:r w:rsidR="00454A5E">
        <w:rPr>
          <w:rFonts w:ascii="Rockwell" w:hAnsi="Rockwell" w:cs="Estrangelo Edessa"/>
          <w:sz w:val="24"/>
          <w:szCs w:val="24"/>
        </w:rPr>
        <w:t xml:space="preserve">aurait se substituer aux textes de </w:t>
      </w:r>
      <w:r w:rsidR="00B463D7" w:rsidRPr="0061020E">
        <w:rPr>
          <w:rFonts w:ascii="Rockwell" w:hAnsi="Rockwell" w:cs="Estrangelo Edessa"/>
          <w:sz w:val="24"/>
          <w:szCs w:val="24"/>
        </w:rPr>
        <w:t>loi</w:t>
      </w:r>
      <w:r w:rsidR="00454A5E">
        <w:rPr>
          <w:rFonts w:ascii="Rockwell" w:hAnsi="Rockwell" w:cs="Estrangelo Edessa"/>
          <w:sz w:val="24"/>
          <w:szCs w:val="24"/>
        </w:rPr>
        <w:t xml:space="preserve"> en vigueur. Il </w:t>
      </w:r>
      <w:r w:rsidR="00B463D7" w:rsidRPr="0061020E">
        <w:rPr>
          <w:rFonts w:ascii="Rockwell" w:hAnsi="Rockwell" w:cs="Estrangelo Edessa"/>
          <w:sz w:val="24"/>
          <w:szCs w:val="24"/>
        </w:rPr>
        <w:t xml:space="preserve">ne doit pas être considéré </w:t>
      </w:r>
      <w:r w:rsidRPr="0061020E">
        <w:rPr>
          <w:rFonts w:ascii="Rockwell" w:hAnsi="Rockwell" w:cs="Estrangelo Edessa"/>
          <w:sz w:val="24"/>
          <w:szCs w:val="24"/>
        </w:rPr>
        <w:t>comme un cadre rigide</w:t>
      </w:r>
      <w:r w:rsidR="00454A5E">
        <w:rPr>
          <w:rFonts w:ascii="Rockwell" w:hAnsi="Rockwell" w:cs="Estrangelo Edessa"/>
          <w:sz w:val="24"/>
          <w:szCs w:val="24"/>
        </w:rPr>
        <w:t>,</w:t>
      </w:r>
      <w:r w:rsidRPr="0061020E">
        <w:rPr>
          <w:rFonts w:ascii="Rockwell" w:hAnsi="Rockwell" w:cs="Estrangelo Edessa"/>
          <w:sz w:val="24"/>
          <w:szCs w:val="24"/>
        </w:rPr>
        <w:t xml:space="preserve"> lors de la pr</w:t>
      </w:r>
      <w:r w:rsidR="00B463D7" w:rsidRPr="0061020E">
        <w:rPr>
          <w:rFonts w:ascii="Rockwell" w:hAnsi="Rockwell" w:cs="Estrangelo Edessa"/>
          <w:sz w:val="24"/>
          <w:szCs w:val="24"/>
        </w:rPr>
        <w:t>éparation des clauses des marché</w:t>
      </w:r>
      <w:r w:rsidRPr="0061020E">
        <w:rPr>
          <w:rFonts w:ascii="Rockwell" w:hAnsi="Rockwell" w:cs="Estrangelo Edessa"/>
          <w:sz w:val="24"/>
          <w:szCs w:val="24"/>
        </w:rPr>
        <w:t>s</w:t>
      </w:r>
      <w:r w:rsidR="00B463D7" w:rsidRPr="0061020E">
        <w:rPr>
          <w:rFonts w:ascii="Rockwell" w:hAnsi="Rockwell" w:cs="Estrangelo Edessa"/>
          <w:sz w:val="24"/>
          <w:szCs w:val="24"/>
        </w:rPr>
        <w:t xml:space="preserve"> </w:t>
      </w:r>
      <w:r w:rsidR="0031737E" w:rsidRPr="0061020E">
        <w:rPr>
          <w:rFonts w:ascii="Rockwell" w:hAnsi="Rockwell" w:cs="Estrangelo Edessa"/>
          <w:sz w:val="24"/>
          <w:szCs w:val="24"/>
        </w:rPr>
        <w:t>publics.</w:t>
      </w:r>
    </w:p>
    <w:p w:rsidR="00DF546B" w:rsidRPr="0061020E" w:rsidRDefault="00DF546B"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 xml:space="preserve">Le présent document vise à informer les acteurs des marchés publics </w:t>
      </w:r>
      <w:r w:rsidR="00454A5E">
        <w:rPr>
          <w:rFonts w:ascii="Rockwell" w:hAnsi="Rockwell" w:cs="Estrangelo Edessa"/>
          <w:sz w:val="24"/>
          <w:szCs w:val="24"/>
        </w:rPr>
        <w:t xml:space="preserve">des exigences actuelles </w:t>
      </w:r>
      <w:r w:rsidRPr="0061020E">
        <w:rPr>
          <w:rFonts w:ascii="Rockwell" w:hAnsi="Rockwell" w:cs="Estrangelo Edessa"/>
          <w:sz w:val="24"/>
          <w:szCs w:val="24"/>
        </w:rPr>
        <w:t>en matière de qualité des biens et services à livrer dans le cadre de la commande publique</w:t>
      </w:r>
      <w:r w:rsidR="00454A5E">
        <w:rPr>
          <w:rFonts w:ascii="Rockwell" w:hAnsi="Rockwell" w:cs="Estrangelo Edessa"/>
          <w:sz w:val="24"/>
          <w:szCs w:val="24"/>
        </w:rPr>
        <w:t xml:space="preserve">. En effet, au fur et à mesure </w:t>
      </w:r>
      <w:r w:rsidRPr="0061020E">
        <w:rPr>
          <w:rFonts w:ascii="Rockwell" w:hAnsi="Rockwell" w:cs="Estrangelo Edessa"/>
          <w:sz w:val="24"/>
          <w:szCs w:val="24"/>
        </w:rPr>
        <w:t>que s'améliore la qualité de la vie, la demande de produits et de services de meilleure qualité augmente</w:t>
      </w:r>
      <w:r w:rsidR="00454A5E">
        <w:rPr>
          <w:rFonts w:ascii="Rockwell" w:hAnsi="Rockwell" w:cs="Estrangelo Edessa"/>
          <w:sz w:val="24"/>
          <w:szCs w:val="24"/>
        </w:rPr>
        <w:t>,</w:t>
      </w:r>
      <w:r w:rsidRPr="0061020E">
        <w:rPr>
          <w:rFonts w:ascii="Rockwell" w:hAnsi="Rockwell" w:cs="Estrangelo Edessa"/>
          <w:sz w:val="24"/>
          <w:szCs w:val="24"/>
        </w:rPr>
        <w:t xml:space="preserve"> également. Partout dans le monde, les clients exigent que le produit ou le service pour lequel ils ont payé corresponde à leurs spécifications, réponde à leurs attentes et qu'il fonctionne comme prévu. </w:t>
      </w:r>
    </w:p>
    <w:p w:rsidR="00DF546B" w:rsidRPr="0061020E" w:rsidRDefault="00DF546B"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Il n'est possible aujourd'hui</w:t>
      </w:r>
      <w:r w:rsidR="00454A5E">
        <w:rPr>
          <w:rFonts w:ascii="Rockwell" w:hAnsi="Rockwell" w:cs="Estrangelo Edessa"/>
          <w:sz w:val="24"/>
          <w:szCs w:val="24"/>
        </w:rPr>
        <w:t>,</w:t>
      </w:r>
      <w:r w:rsidRPr="0061020E">
        <w:rPr>
          <w:rFonts w:ascii="Rockwell" w:hAnsi="Rockwell" w:cs="Estrangelo Edessa"/>
          <w:sz w:val="24"/>
          <w:szCs w:val="24"/>
        </w:rPr>
        <w:t xml:space="preserve"> d'atteindre le niveau de qualité requis dans un prod</w:t>
      </w:r>
      <w:r w:rsidR="00454A5E">
        <w:rPr>
          <w:rFonts w:ascii="Rockwell" w:hAnsi="Rockwell" w:cs="Estrangelo Edessa"/>
          <w:sz w:val="24"/>
          <w:szCs w:val="24"/>
        </w:rPr>
        <w:t xml:space="preserve">uit qu'en utilisant un système </w:t>
      </w:r>
      <w:r w:rsidRPr="0061020E">
        <w:rPr>
          <w:rFonts w:ascii="Rockwell" w:hAnsi="Rockwell" w:cs="Estrangelo Edessa"/>
          <w:sz w:val="24"/>
          <w:szCs w:val="24"/>
        </w:rPr>
        <w:t xml:space="preserve">de qualité. C’est </w:t>
      </w:r>
      <w:r w:rsidR="00454A5E" w:rsidRPr="0061020E">
        <w:rPr>
          <w:rFonts w:ascii="Rockwell" w:hAnsi="Rockwell" w:cs="Estrangelo Edessa"/>
          <w:sz w:val="24"/>
          <w:szCs w:val="24"/>
        </w:rPr>
        <w:t>fort</w:t>
      </w:r>
      <w:r w:rsidR="00125D3A">
        <w:rPr>
          <w:rFonts w:ascii="Rockwell" w:hAnsi="Rockwell" w:cs="Estrangelo Edessa"/>
          <w:sz w:val="24"/>
          <w:szCs w:val="24"/>
        </w:rPr>
        <w:t>e</w:t>
      </w:r>
      <w:r w:rsidRPr="0061020E">
        <w:rPr>
          <w:rFonts w:ascii="Rockwell" w:hAnsi="Rockwell" w:cs="Estrangelo Edessa"/>
          <w:sz w:val="24"/>
          <w:szCs w:val="24"/>
        </w:rPr>
        <w:t xml:space="preserve"> de ce constat que </w:t>
      </w:r>
      <w:r w:rsidR="00454A5E">
        <w:rPr>
          <w:rFonts w:ascii="Rockwell" w:hAnsi="Rockwell" w:cs="Estrangelo Edessa"/>
          <w:sz w:val="24"/>
          <w:szCs w:val="24"/>
        </w:rPr>
        <w:t>l</w:t>
      </w:r>
      <w:r w:rsidRPr="0061020E">
        <w:rPr>
          <w:rFonts w:ascii="Rockwell" w:hAnsi="Rockwell" w:cs="Estrangelo Edessa"/>
          <w:sz w:val="24"/>
          <w:szCs w:val="24"/>
        </w:rPr>
        <w:t>’Autorité de régulation de la commande publique (ARCOP) s’investit dans le système qualité pour garantir le respect des exigences</w:t>
      </w:r>
      <w:r w:rsidR="00454A5E">
        <w:rPr>
          <w:rFonts w:ascii="Rockwell" w:hAnsi="Rockwell" w:cs="Estrangelo Edessa"/>
          <w:sz w:val="24"/>
          <w:szCs w:val="24"/>
        </w:rPr>
        <w:t>,</w:t>
      </w:r>
      <w:r w:rsidRPr="0061020E">
        <w:rPr>
          <w:rFonts w:ascii="Rockwell" w:hAnsi="Rockwell" w:cs="Estrangelo Edessa"/>
          <w:sz w:val="24"/>
          <w:szCs w:val="24"/>
        </w:rPr>
        <w:t xml:space="preserve"> en vue de la satisfaction de tous les  acteurs de la commande publique. </w:t>
      </w:r>
    </w:p>
    <w:p w:rsidR="00DF546B" w:rsidRPr="0061020E" w:rsidRDefault="00C56FAF" w:rsidP="008F6018">
      <w:pPr>
        <w:widowControl w:val="0"/>
        <w:autoSpaceDE w:val="0"/>
        <w:autoSpaceDN w:val="0"/>
        <w:adjustRightInd w:val="0"/>
        <w:spacing w:after="120" w:line="240" w:lineRule="auto"/>
        <w:jc w:val="both"/>
        <w:rPr>
          <w:rFonts w:ascii="Rockwell" w:eastAsia="Calibri" w:hAnsi="Rockwell" w:cs="Estrangelo Edessa"/>
          <w:sz w:val="24"/>
          <w:szCs w:val="24"/>
        </w:rPr>
      </w:pPr>
      <w:r>
        <w:rPr>
          <w:rFonts w:ascii="Rockwell" w:eastAsia="Calibri" w:hAnsi="Rockwell" w:cs="Estrangelo Edessa"/>
          <w:sz w:val="24"/>
          <w:szCs w:val="24"/>
        </w:rPr>
        <w:t xml:space="preserve">Le présent </w:t>
      </w:r>
      <w:r w:rsidR="00DF546B" w:rsidRPr="0061020E">
        <w:rPr>
          <w:rFonts w:ascii="Rockwell" w:eastAsia="Calibri" w:hAnsi="Rockwell" w:cs="Estrangelo Edessa"/>
          <w:sz w:val="24"/>
          <w:szCs w:val="24"/>
        </w:rPr>
        <w:t xml:space="preserve">guide </w:t>
      </w:r>
      <w:r w:rsidR="007251BD" w:rsidRPr="0061020E">
        <w:rPr>
          <w:rFonts w:ascii="Rockwell" w:eastAsia="Calibri" w:hAnsi="Rockwell" w:cs="Estrangelo Edessa"/>
          <w:sz w:val="24"/>
          <w:szCs w:val="24"/>
        </w:rPr>
        <w:t xml:space="preserve">d’utilisation des normes qualité en matière de commande publique </w:t>
      </w:r>
      <w:r w:rsidR="00B92C24" w:rsidRPr="0061020E">
        <w:rPr>
          <w:rFonts w:ascii="Rockwell" w:eastAsia="Calibri" w:hAnsi="Rockwell" w:cs="Estrangelo Edessa"/>
          <w:sz w:val="24"/>
          <w:szCs w:val="24"/>
        </w:rPr>
        <w:t>porte sur les</w:t>
      </w:r>
      <w:r w:rsidR="00DF546B" w:rsidRPr="0061020E">
        <w:rPr>
          <w:rFonts w:ascii="Rockwell" w:eastAsia="Calibri" w:hAnsi="Rockwell" w:cs="Estrangelo Edessa"/>
          <w:sz w:val="24"/>
          <w:szCs w:val="24"/>
        </w:rPr>
        <w:t xml:space="preserve"> : </w:t>
      </w:r>
    </w:p>
    <w:p w:rsidR="000577C6" w:rsidRPr="0061020E" w:rsidRDefault="000577C6" w:rsidP="008F6018">
      <w:pPr>
        <w:pStyle w:val="Paragraphedeliste"/>
        <w:widowControl w:val="0"/>
        <w:numPr>
          <w:ilvl w:val="0"/>
          <w:numId w:val="45"/>
        </w:numPr>
        <w:autoSpaceDE w:val="0"/>
        <w:autoSpaceDN w:val="0"/>
        <w:adjustRightInd w:val="0"/>
        <w:spacing w:after="120" w:line="240" w:lineRule="auto"/>
        <w:jc w:val="both"/>
        <w:rPr>
          <w:rFonts w:ascii="Rockwell" w:eastAsia="Calibri" w:hAnsi="Rockwell" w:cs="Estrangelo Edessa"/>
          <w:i/>
          <w:sz w:val="24"/>
          <w:szCs w:val="24"/>
        </w:rPr>
      </w:pPr>
      <w:r w:rsidRPr="0061020E">
        <w:rPr>
          <w:rFonts w:ascii="Rockwell" w:eastAsia="Calibri" w:hAnsi="Rockwell" w:cs="Estrangelo Edessa"/>
          <w:i/>
          <w:sz w:val="24"/>
          <w:szCs w:val="24"/>
        </w:rPr>
        <w:t>concepts de la qualité</w:t>
      </w:r>
      <w:r w:rsidR="00B92C24" w:rsidRPr="0061020E">
        <w:rPr>
          <w:rFonts w:ascii="Rockwell" w:eastAsia="Calibri" w:hAnsi="Rockwell" w:cs="Estrangelo Edessa"/>
          <w:i/>
          <w:sz w:val="24"/>
          <w:szCs w:val="24"/>
        </w:rPr>
        <w:t> ;</w:t>
      </w:r>
      <w:r w:rsidRPr="0061020E">
        <w:rPr>
          <w:rFonts w:ascii="Rockwell" w:eastAsia="Calibri" w:hAnsi="Rockwell" w:cs="Estrangelo Edessa"/>
          <w:i/>
          <w:sz w:val="24"/>
          <w:szCs w:val="24"/>
        </w:rPr>
        <w:t xml:space="preserve"> </w:t>
      </w:r>
    </w:p>
    <w:p w:rsidR="000577C6" w:rsidRPr="0061020E" w:rsidRDefault="000577C6" w:rsidP="008F6018">
      <w:pPr>
        <w:pStyle w:val="Paragraphedeliste"/>
        <w:widowControl w:val="0"/>
        <w:numPr>
          <w:ilvl w:val="0"/>
          <w:numId w:val="45"/>
        </w:numPr>
        <w:autoSpaceDE w:val="0"/>
        <w:autoSpaceDN w:val="0"/>
        <w:adjustRightInd w:val="0"/>
        <w:spacing w:after="120" w:line="240" w:lineRule="auto"/>
        <w:jc w:val="both"/>
        <w:rPr>
          <w:rFonts w:ascii="Rockwell" w:eastAsia="Calibri" w:hAnsi="Rockwell" w:cs="Estrangelo Edessa"/>
          <w:i/>
          <w:sz w:val="24"/>
          <w:szCs w:val="24"/>
        </w:rPr>
      </w:pPr>
      <w:r w:rsidRPr="0061020E">
        <w:rPr>
          <w:rFonts w:ascii="Rockwell" w:eastAsia="Calibri" w:hAnsi="Rockwell" w:cs="Estrangelo Edessa"/>
          <w:i/>
          <w:sz w:val="24"/>
          <w:szCs w:val="24"/>
        </w:rPr>
        <w:t>conseils pratiques à l'acheteur public</w:t>
      </w:r>
      <w:r w:rsidR="00B92C24" w:rsidRPr="0061020E">
        <w:rPr>
          <w:rFonts w:ascii="Rockwell" w:eastAsia="Calibri" w:hAnsi="Rockwell" w:cs="Estrangelo Edessa"/>
          <w:i/>
          <w:sz w:val="24"/>
          <w:szCs w:val="24"/>
        </w:rPr>
        <w:t> ;</w:t>
      </w:r>
    </w:p>
    <w:p w:rsidR="000577C6" w:rsidRPr="0061020E" w:rsidRDefault="000577C6" w:rsidP="008F6018">
      <w:pPr>
        <w:pStyle w:val="Paragraphedeliste"/>
        <w:widowControl w:val="0"/>
        <w:numPr>
          <w:ilvl w:val="0"/>
          <w:numId w:val="45"/>
        </w:numPr>
        <w:autoSpaceDE w:val="0"/>
        <w:autoSpaceDN w:val="0"/>
        <w:adjustRightInd w:val="0"/>
        <w:spacing w:after="120" w:line="240" w:lineRule="auto"/>
        <w:jc w:val="both"/>
        <w:rPr>
          <w:rFonts w:ascii="Rockwell" w:eastAsia="Calibri" w:hAnsi="Rockwell" w:cs="Estrangelo Edessa"/>
          <w:i/>
          <w:sz w:val="24"/>
          <w:szCs w:val="24"/>
        </w:rPr>
      </w:pPr>
      <w:r w:rsidRPr="0061020E">
        <w:rPr>
          <w:rFonts w:ascii="Rockwell" w:eastAsia="Calibri" w:hAnsi="Rockwell" w:cs="Estrangelo Edessa"/>
          <w:i/>
          <w:sz w:val="24"/>
          <w:szCs w:val="24"/>
        </w:rPr>
        <w:t>exigences minimales en matière de gestion de la qualité</w:t>
      </w:r>
      <w:r w:rsidR="00B92C24" w:rsidRPr="0061020E">
        <w:rPr>
          <w:rFonts w:ascii="Rockwell" w:eastAsia="Calibri" w:hAnsi="Rockwell" w:cs="Estrangelo Edessa"/>
          <w:i/>
          <w:sz w:val="24"/>
          <w:szCs w:val="24"/>
        </w:rPr>
        <w:t> ;</w:t>
      </w:r>
      <w:r w:rsidRPr="0061020E">
        <w:rPr>
          <w:rFonts w:ascii="Rockwell" w:eastAsia="Calibri" w:hAnsi="Rockwell" w:cs="Estrangelo Edessa"/>
          <w:i/>
          <w:sz w:val="24"/>
          <w:szCs w:val="24"/>
        </w:rPr>
        <w:t xml:space="preserve"> </w:t>
      </w:r>
    </w:p>
    <w:p w:rsidR="000577C6" w:rsidRPr="0061020E" w:rsidRDefault="000577C6" w:rsidP="008F6018">
      <w:pPr>
        <w:pStyle w:val="Paragraphedeliste"/>
        <w:widowControl w:val="0"/>
        <w:numPr>
          <w:ilvl w:val="0"/>
          <w:numId w:val="45"/>
        </w:numPr>
        <w:autoSpaceDE w:val="0"/>
        <w:autoSpaceDN w:val="0"/>
        <w:adjustRightInd w:val="0"/>
        <w:spacing w:after="120" w:line="240" w:lineRule="auto"/>
        <w:jc w:val="both"/>
        <w:rPr>
          <w:rFonts w:ascii="Rockwell" w:eastAsia="Calibri" w:hAnsi="Rockwell" w:cs="Estrangelo Edessa"/>
          <w:i/>
          <w:sz w:val="24"/>
          <w:szCs w:val="24"/>
        </w:rPr>
      </w:pPr>
      <w:r w:rsidRPr="0061020E">
        <w:rPr>
          <w:rFonts w:ascii="Rockwell" w:eastAsia="Calibri" w:hAnsi="Rockwell" w:cs="Estrangelo Edessa"/>
          <w:i/>
          <w:sz w:val="24"/>
          <w:szCs w:val="24"/>
        </w:rPr>
        <w:t>exigences normatives pour les produits</w:t>
      </w:r>
      <w:r w:rsidR="00454A5E">
        <w:rPr>
          <w:rFonts w:ascii="Rockwell" w:eastAsia="Calibri" w:hAnsi="Rockwell" w:cs="Estrangelo Edessa"/>
          <w:i/>
          <w:sz w:val="24"/>
          <w:szCs w:val="24"/>
        </w:rPr>
        <w:t>,</w:t>
      </w:r>
      <w:r w:rsidRPr="0061020E">
        <w:rPr>
          <w:rFonts w:ascii="Rockwell" w:eastAsia="Calibri" w:hAnsi="Rockwell" w:cs="Estrangelo Edessa"/>
          <w:i/>
          <w:sz w:val="24"/>
          <w:szCs w:val="24"/>
        </w:rPr>
        <w:t xml:space="preserve"> dans le cadre des achats publics par secteur</w:t>
      </w:r>
      <w:r w:rsidR="00454A5E">
        <w:rPr>
          <w:rFonts w:ascii="Rockwell" w:eastAsia="Calibri" w:hAnsi="Rockwell" w:cs="Estrangelo Edessa"/>
          <w:i/>
          <w:sz w:val="24"/>
          <w:szCs w:val="24"/>
        </w:rPr>
        <w:t>,</w:t>
      </w:r>
      <w:r w:rsidRPr="0061020E">
        <w:rPr>
          <w:rFonts w:ascii="Rockwell" w:eastAsia="Calibri" w:hAnsi="Rockwell" w:cs="Estrangelo Edessa"/>
          <w:i/>
          <w:sz w:val="24"/>
          <w:szCs w:val="24"/>
        </w:rPr>
        <w:t xml:space="preserve"> au Burkina Faso</w:t>
      </w:r>
      <w:r w:rsidR="00B92C24" w:rsidRPr="0061020E">
        <w:rPr>
          <w:rFonts w:ascii="Rockwell" w:eastAsia="Calibri" w:hAnsi="Rockwell" w:cs="Estrangelo Edessa"/>
          <w:i/>
          <w:sz w:val="24"/>
          <w:szCs w:val="24"/>
        </w:rPr>
        <w:t>.</w:t>
      </w:r>
    </w:p>
    <w:p w:rsidR="00DF546B" w:rsidRPr="0061020E" w:rsidRDefault="00DF546B"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Pr="0061020E" w:rsidRDefault="00BB74D6" w:rsidP="008F6018">
      <w:pPr>
        <w:spacing w:after="120" w:line="240" w:lineRule="auto"/>
        <w:jc w:val="both"/>
        <w:rPr>
          <w:rFonts w:ascii="Rockwell" w:hAnsi="Rockwell" w:cs="Estrangelo Edessa"/>
          <w:b/>
          <w:sz w:val="24"/>
          <w:szCs w:val="24"/>
        </w:rPr>
      </w:pPr>
    </w:p>
    <w:p w:rsidR="00BB74D6" w:rsidRDefault="00BB74D6" w:rsidP="008F6018">
      <w:pPr>
        <w:spacing w:after="120" w:line="240" w:lineRule="auto"/>
        <w:jc w:val="both"/>
        <w:rPr>
          <w:rFonts w:ascii="Rockwell" w:hAnsi="Rockwell" w:cs="Estrangelo Edessa"/>
          <w:b/>
          <w:sz w:val="24"/>
          <w:szCs w:val="24"/>
        </w:rPr>
      </w:pPr>
    </w:p>
    <w:p w:rsidR="008F2A77" w:rsidRDefault="008F2A77" w:rsidP="008F6018">
      <w:pPr>
        <w:spacing w:after="120" w:line="240" w:lineRule="auto"/>
        <w:jc w:val="both"/>
        <w:rPr>
          <w:rFonts w:ascii="Rockwell" w:hAnsi="Rockwell" w:cs="Estrangelo Edessa"/>
          <w:b/>
          <w:sz w:val="24"/>
          <w:szCs w:val="24"/>
        </w:rPr>
      </w:pPr>
    </w:p>
    <w:p w:rsidR="008F6018" w:rsidRPr="0061020E" w:rsidRDefault="008F6018" w:rsidP="008F6018">
      <w:pPr>
        <w:spacing w:after="120" w:line="240" w:lineRule="auto"/>
        <w:jc w:val="both"/>
        <w:rPr>
          <w:rFonts w:ascii="Rockwell" w:hAnsi="Rockwell" w:cs="Estrangelo Edessa"/>
          <w:b/>
          <w:sz w:val="24"/>
          <w:szCs w:val="24"/>
        </w:rPr>
      </w:pPr>
    </w:p>
    <w:p w:rsidR="00BB74D6" w:rsidRPr="0061020E" w:rsidRDefault="00844FE3" w:rsidP="008F6018">
      <w:pPr>
        <w:pStyle w:val="Titre1"/>
        <w:spacing w:after="120"/>
        <w:jc w:val="both"/>
        <w:rPr>
          <w:rFonts w:ascii="Rockwell" w:hAnsi="Rockwell"/>
          <w:b w:val="0"/>
        </w:rPr>
      </w:pPr>
      <w:bookmarkStart w:id="4" w:name="_Toc503784917"/>
      <w:bookmarkStart w:id="5" w:name="_Toc505063255"/>
      <w:r>
        <w:rPr>
          <w:rFonts w:ascii="Rockwell" w:hAnsi="Rockwell"/>
        </w:rPr>
        <w:lastRenderedPageBreak/>
        <w:t>Ière PARTIE</w:t>
      </w:r>
      <w:r w:rsidR="00BB74D6" w:rsidRPr="0061020E">
        <w:rPr>
          <w:rFonts w:ascii="Rockwell" w:hAnsi="Rockwell"/>
        </w:rPr>
        <w:t xml:space="preserve"> - CONCEPTS </w:t>
      </w:r>
      <w:r w:rsidR="000577C6" w:rsidRPr="0061020E">
        <w:rPr>
          <w:rFonts w:ascii="Rockwell" w:hAnsi="Rockwell"/>
        </w:rPr>
        <w:t>DE LA QUALITE</w:t>
      </w:r>
      <w:bookmarkEnd w:id="4"/>
      <w:bookmarkEnd w:id="5"/>
      <w:r w:rsidR="000577C6" w:rsidRPr="0061020E">
        <w:rPr>
          <w:rFonts w:ascii="Rockwell" w:hAnsi="Rockwell"/>
        </w:rPr>
        <w:t xml:space="preserve"> </w:t>
      </w:r>
    </w:p>
    <w:p w:rsidR="00BB74D6" w:rsidRPr="0061020E" w:rsidRDefault="00BB74D6" w:rsidP="008F6018">
      <w:pPr>
        <w:spacing w:after="120" w:line="240" w:lineRule="auto"/>
        <w:jc w:val="both"/>
        <w:rPr>
          <w:rFonts w:ascii="Rockwell" w:hAnsi="Rockwell" w:cs="Estrangelo Edessa"/>
          <w:b/>
          <w:sz w:val="24"/>
          <w:szCs w:val="24"/>
        </w:rPr>
      </w:pPr>
    </w:p>
    <w:p w:rsidR="00DF546B" w:rsidRDefault="00DF546B" w:rsidP="008F6018">
      <w:pPr>
        <w:pStyle w:val="Titre2"/>
        <w:numPr>
          <w:ilvl w:val="0"/>
          <w:numId w:val="83"/>
        </w:numPr>
        <w:spacing w:before="0" w:after="120" w:line="240" w:lineRule="auto"/>
        <w:jc w:val="both"/>
        <w:rPr>
          <w:rFonts w:ascii="Rockwell" w:hAnsi="Rockwell"/>
          <w:color w:val="auto"/>
          <w:sz w:val="24"/>
          <w:szCs w:val="24"/>
        </w:rPr>
      </w:pPr>
      <w:bookmarkStart w:id="6" w:name="_Toc503784918"/>
      <w:bookmarkStart w:id="7" w:name="_Toc505063256"/>
      <w:r w:rsidRPr="0061020E">
        <w:rPr>
          <w:rFonts w:ascii="Rockwell" w:hAnsi="Rockwell"/>
          <w:color w:val="auto"/>
          <w:sz w:val="24"/>
          <w:szCs w:val="24"/>
        </w:rPr>
        <w:t>Généralités sur la qualité et l'assurance de la qualité</w:t>
      </w:r>
      <w:bookmarkEnd w:id="6"/>
      <w:bookmarkEnd w:id="7"/>
    </w:p>
    <w:p w:rsidR="00DF546B" w:rsidRPr="0061020E" w:rsidRDefault="00DF546B" w:rsidP="008F6018">
      <w:pPr>
        <w:spacing w:after="120" w:line="240" w:lineRule="auto"/>
        <w:jc w:val="both"/>
        <w:rPr>
          <w:rFonts w:ascii="Rockwell" w:eastAsia="Times New Roman" w:hAnsi="Rockwell" w:cs="Estrangelo Edessa"/>
          <w:sz w:val="24"/>
          <w:szCs w:val="24"/>
          <w:lang w:eastAsia="fr-FR"/>
        </w:rPr>
      </w:pPr>
      <w:r w:rsidRPr="0061020E">
        <w:rPr>
          <w:rFonts w:ascii="Rockwell" w:eastAsia="Times New Roman" w:hAnsi="Rockwell" w:cs="Estrangelo Edessa"/>
          <w:sz w:val="24"/>
          <w:szCs w:val="24"/>
          <w:lang w:eastAsia="fr-FR"/>
        </w:rPr>
        <w:t>La qualité au Burkina Faso est régie par la loi n°</w:t>
      </w:r>
      <w:r w:rsidR="0031737E" w:rsidRPr="0061020E">
        <w:rPr>
          <w:rFonts w:ascii="Rockwell" w:eastAsia="Times New Roman" w:hAnsi="Rockwell" w:cs="Estrangelo Edessa"/>
          <w:sz w:val="24"/>
          <w:szCs w:val="24"/>
          <w:lang w:eastAsia="fr-FR"/>
        </w:rPr>
        <w:t>0</w:t>
      </w:r>
      <w:r w:rsidRPr="0061020E">
        <w:rPr>
          <w:rFonts w:ascii="Rockwell" w:eastAsia="Times New Roman" w:hAnsi="Rockwell" w:cs="Estrangelo Edessa"/>
          <w:sz w:val="24"/>
          <w:szCs w:val="24"/>
          <w:lang w:eastAsia="fr-FR"/>
        </w:rPr>
        <w:t>11-20</w:t>
      </w:r>
      <w:r w:rsidR="00B463D7" w:rsidRPr="0061020E">
        <w:rPr>
          <w:rFonts w:ascii="Rockwell" w:eastAsia="Times New Roman" w:hAnsi="Rockwell" w:cs="Estrangelo Edessa"/>
          <w:sz w:val="24"/>
          <w:szCs w:val="24"/>
          <w:lang w:eastAsia="fr-FR"/>
        </w:rPr>
        <w:t>0</w:t>
      </w:r>
      <w:r w:rsidRPr="0061020E">
        <w:rPr>
          <w:rFonts w:ascii="Rockwell" w:eastAsia="Times New Roman" w:hAnsi="Rockwell" w:cs="Estrangelo Edessa"/>
          <w:sz w:val="24"/>
          <w:szCs w:val="24"/>
          <w:lang w:eastAsia="fr-FR"/>
        </w:rPr>
        <w:t>7/AN du 24 mai 2007 portant institution d’un système national de normalisation, de certification, d’accréditation et de promotion de la qualité au Burkina Faso.</w:t>
      </w:r>
    </w:p>
    <w:p w:rsidR="00DF546B" w:rsidRDefault="00DF546B" w:rsidP="008F6018">
      <w:pPr>
        <w:spacing w:after="120" w:line="240" w:lineRule="auto"/>
        <w:jc w:val="both"/>
        <w:rPr>
          <w:rFonts w:ascii="Rockwell" w:eastAsia="Calibri" w:hAnsi="Rockwell" w:cs="Times New Roman"/>
          <w:sz w:val="24"/>
          <w:szCs w:val="24"/>
        </w:rPr>
      </w:pPr>
      <w:r w:rsidRPr="0061020E">
        <w:rPr>
          <w:rFonts w:ascii="Rockwell" w:eastAsia="Calibri" w:hAnsi="Rockwell" w:cs="Times New Roman"/>
          <w:sz w:val="24"/>
          <w:szCs w:val="24"/>
        </w:rPr>
        <w:t>Le guide vise la prévention des défaillances, prenant en compte tous les besoins de l’</w:t>
      </w:r>
      <w:r w:rsidR="00B463D7" w:rsidRPr="0061020E">
        <w:rPr>
          <w:rFonts w:ascii="Rockwell" w:eastAsia="Calibri" w:hAnsi="Rockwell" w:cs="Times New Roman"/>
          <w:sz w:val="24"/>
          <w:szCs w:val="24"/>
        </w:rPr>
        <w:t>a</w:t>
      </w:r>
      <w:r w:rsidRPr="0061020E">
        <w:rPr>
          <w:rFonts w:ascii="Rockwell" w:eastAsia="Calibri" w:hAnsi="Rockwell" w:cs="Times New Roman"/>
          <w:sz w:val="24"/>
          <w:szCs w:val="24"/>
        </w:rPr>
        <w:t>dministration relatifs à la qualité, au délai, au prix, à la performance, avec pour objectif final</w:t>
      </w:r>
      <w:r w:rsidR="00F13275">
        <w:rPr>
          <w:rFonts w:ascii="Rockwell" w:eastAsia="Calibri" w:hAnsi="Rockwell" w:cs="Times New Roman"/>
          <w:sz w:val="24"/>
          <w:szCs w:val="24"/>
        </w:rPr>
        <w:t>,</w:t>
      </w:r>
      <w:r w:rsidRPr="0061020E">
        <w:rPr>
          <w:rFonts w:ascii="Rockwell" w:eastAsia="Calibri" w:hAnsi="Rockwell" w:cs="Times New Roman"/>
          <w:sz w:val="24"/>
          <w:szCs w:val="24"/>
        </w:rPr>
        <w:t xml:space="preserve"> la satisfaction totale de l’acheteur public</w:t>
      </w:r>
      <w:r w:rsidR="00C27000">
        <w:rPr>
          <w:rFonts w:ascii="Rockwell" w:eastAsia="Calibri" w:hAnsi="Rockwell" w:cs="Times New Roman"/>
          <w:sz w:val="24"/>
          <w:szCs w:val="24"/>
        </w:rPr>
        <w:t>.</w:t>
      </w:r>
    </w:p>
    <w:p w:rsidR="00C27000" w:rsidRPr="0061020E" w:rsidRDefault="00C27000" w:rsidP="008F6018">
      <w:pPr>
        <w:spacing w:after="120" w:line="240" w:lineRule="auto"/>
        <w:jc w:val="both"/>
        <w:rPr>
          <w:rFonts w:ascii="Rockwell" w:eastAsia="Calibri" w:hAnsi="Rockwell" w:cs="Times New Roman"/>
          <w:sz w:val="24"/>
          <w:szCs w:val="24"/>
        </w:rPr>
      </w:pPr>
    </w:p>
    <w:p w:rsidR="00DF546B" w:rsidRPr="000B58B3" w:rsidRDefault="00DF546B" w:rsidP="008F6018">
      <w:pPr>
        <w:pStyle w:val="Titre3"/>
        <w:numPr>
          <w:ilvl w:val="0"/>
          <w:numId w:val="84"/>
        </w:numPr>
        <w:spacing w:before="0" w:after="120" w:line="240" w:lineRule="auto"/>
        <w:jc w:val="both"/>
        <w:rPr>
          <w:rFonts w:ascii="Rockwell" w:hAnsi="Rockwell"/>
          <w:b w:val="0"/>
          <w:color w:val="auto"/>
          <w:sz w:val="24"/>
          <w:szCs w:val="24"/>
        </w:rPr>
      </w:pPr>
      <w:bookmarkStart w:id="8" w:name="_Toc505063257"/>
      <w:r w:rsidRPr="000B58B3">
        <w:rPr>
          <w:rFonts w:ascii="Rockwell" w:hAnsi="Rockwell"/>
          <w:color w:val="auto"/>
          <w:sz w:val="24"/>
          <w:szCs w:val="24"/>
        </w:rPr>
        <w:t>La qualité</w:t>
      </w:r>
      <w:bookmarkEnd w:id="8"/>
    </w:p>
    <w:p w:rsidR="00DF546B" w:rsidRPr="0061020E" w:rsidRDefault="00447A5E" w:rsidP="008F6018">
      <w:pPr>
        <w:spacing w:after="120" w:line="240" w:lineRule="auto"/>
        <w:jc w:val="both"/>
        <w:rPr>
          <w:rFonts w:ascii="Rockwell" w:hAnsi="Rockwell" w:cs="Estrangelo Edessa"/>
          <w:sz w:val="24"/>
          <w:szCs w:val="24"/>
        </w:rPr>
      </w:pPr>
      <w:r w:rsidRPr="0061020E">
        <w:rPr>
          <w:rFonts w:ascii="Rockwell" w:eastAsia="Calibri" w:hAnsi="Rockwell"/>
          <w:sz w:val="24"/>
          <w:szCs w:val="24"/>
        </w:rPr>
        <w:t xml:space="preserve">La </w:t>
      </w:r>
      <w:r w:rsidR="00F13275" w:rsidRPr="0061020E">
        <w:rPr>
          <w:rFonts w:ascii="Rockwell" w:eastAsia="Calibri" w:hAnsi="Rockwell"/>
          <w:sz w:val="24"/>
          <w:szCs w:val="24"/>
        </w:rPr>
        <w:t>q</w:t>
      </w:r>
      <w:r w:rsidRPr="0061020E">
        <w:rPr>
          <w:rFonts w:ascii="Rockwell" w:eastAsia="Calibri" w:hAnsi="Rockwell"/>
          <w:sz w:val="24"/>
          <w:szCs w:val="24"/>
        </w:rPr>
        <w:t xml:space="preserve">ualité est définie comme </w:t>
      </w:r>
      <w:r w:rsidRPr="0061020E">
        <w:rPr>
          <w:rFonts w:ascii="Rockwell" w:eastAsia="Calibri" w:hAnsi="Rockwell" w:cs="Arial"/>
          <w:sz w:val="24"/>
          <w:szCs w:val="24"/>
        </w:rPr>
        <w:t>l’aptitude d'un</w:t>
      </w:r>
      <w:r w:rsidRPr="0061020E">
        <w:rPr>
          <w:rFonts w:ascii="Rockwell" w:eastAsia="Calibri" w:hAnsi="Rockwell"/>
          <w:sz w:val="24"/>
          <w:szCs w:val="24"/>
        </w:rPr>
        <w:t xml:space="preserve"> ensemble de caractéristiques </w:t>
      </w:r>
      <w:r w:rsidRPr="0061020E">
        <w:rPr>
          <w:rFonts w:ascii="Rockwell" w:eastAsia="Calibri" w:hAnsi="Rockwell" w:cs="Arial"/>
          <w:sz w:val="24"/>
          <w:szCs w:val="24"/>
        </w:rPr>
        <w:t xml:space="preserve">intrinsèques à satisfaire des </w:t>
      </w:r>
      <w:r w:rsidRPr="0061020E">
        <w:rPr>
          <w:rFonts w:ascii="Rockwell" w:eastAsia="Calibri" w:hAnsi="Rockwell"/>
          <w:sz w:val="24"/>
          <w:szCs w:val="24"/>
        </w:rPr>
        <w:t>exigences</w:t>
      </w:r>
      <w:r w:rsidR="003E2F3C" w:rsidRPr="0061020E">
        <w:rPr>
          <w:rFonts w:ascii="Rockwell" w:eastAsia="Calibri" w:hAnsi="Rockwell"/>
          <w:sz w:val="24"/>
          <w:szCs w:val="24"/>
        </w:rPr>
        <w:t>.</w:t>
      </w:r>
    </w:p>
    <w:p w:rsidR="00DF546B" w:rsidRPr="0061020E" w:rsidRDefault="00F13275" w:rsidP="008F6018">
      <w:pPr>
        <w:spacing w:after="120" w:line="240" w:lineRule="auto"/>
        <w:jc w:val="both"/>
        <w:rPr>
          <w:rFonts w:ascii="Rockwell" w:hAnsi="Rockwell" w:cs="Estrangelo Edessa"/>
          <w:sz w:val="24"/>
          <w:szCs w:val="24"/>
        </w:rPr>
      </w:pPr>
      <w:r>
        <w:rPr>
          <w:rFonts w:ascii="Rockwell" w:hAnsi="Rockwell" w:cs="Estrangelo Edessa"/>
          <w:sz w:val="24"/>
          <w:szCs w:val="24"/>
        </w:rPr>
        <w:t>En micro</w:t>
      </w:r>
      <w:r w:rsidR="00DF546B" w:rsidRPr="0061020E">
        <w:rPr>
          <w:rFonts w:ascii="Rockwell" w:hAnsi="Rockwell" w:cs="Estrangelo Edessa"/>
          <w:sz w:val="24"/>
          <w:szCs w:val="24"/>
        </w:rPr>
        <w:t>économie</w:t>
      </w:r>
      <w:r>
        <w:rPr>
          <w:rFonts w:ascii="Rockwell" w:hAnsi="Rockwell" w:cs="Estrangelo Edessa"/>
          <w:sz w:val="24"/>
          <w:szCs w:val="24"/>
        </w:rPr>
        <w:t>,</w:t>
      </w:r>
      <w:r w:rsidR="00DF546B" w:rsidRPr="0061020E">
        <w:rPr>
          <w:rFonts w:ascii="Rockwell" w:hAnsi="Rockwell" w:cs="Estrangelo Edessa"/>
          <w:sz w:val="24"/>
          <w:szCs w:val="24"/>
        </w:rPr>
        <w:t xml:space="preserve"> la qualité est une démarche permanente de recherche de progrès qui s’appuie sur toutes les ressources et vise à satisfaire tous les besoins, toute</w:t>
      </w:r>
      <w:r w:rsidR="00FE1EC0" w:rsidRPr="0061020E">
        <w:rPr>
          <w:rFonts w:ascii="Rockwell" w:hAnsi="Rockwell" w:cs="Estrangelo Edessa"/>
          <w:sz w:val="24"/>
          <w:szCs w:val="24"/>
        </w:rPr>
        <w:t>s</w:t>
      </w:r>
      <w:r>
        <w:rPr>
          <w:rFonts w:ascii="Rockwell" w:hAnsi="Rockwell" w:cs="Estrangelo Edessa"/>
          <w:sz w:val="24"/>
          <w:szCs w:val="24"/>
        </w:rPr>
        <w:t xml:space="preserve"> les attentes</w:t>
      </w:r>
      <w:r w:rsidR="00DF546B" w:rsidRPr="0061020E">
        <w:rPr>
          <w:rFonts w:ascii="Rockwell" w:hAnsi="Rockwell" w:cs="Estrangelo Edessa"/>
          <w:sz w:val="24"/>
          <w:szCs w:val="24"/>
        </w:rPr>
        <w:t xml:space="preserve"> de tous les clients et ce</w:t>
      </w:r>
      <w:r>
        <w:rPr>
          <w:rFonts w:ascii="Rockwell" w:hAnsi="Rockwell" w:cs="Estrangelo Edessa"/>
          <w:sz w:val="24"/>
          <w:szCs w:val="24"/>
        </w:rPr>
        <w:t>,</w:t>
      </w:r>
      <w:r w:rsidR="00DF546B" w:rsidRPr="0061020E">
        <w:rPr>
          <w:rFonts w:ascii="Rockwell" w:hAnsi="Rockwell" w:cs="Estrangelo Edessa"/>
          <w:sz w:val="24"/>
          <w:szCs w:val="24"/>
        </w:rPr>
        <w:t xml:space="preserve"> au moindre </w:t>
      </w:r>
      <w:r w:rsidR="00D23135" w:rsidRPr="0061020E">
        <w:rPr>
          <w:rFonts w:ascii="Rockwell" w:hAnsi="Rockwell" w:cs="Estrangelo Edessa"/>
          <w:sz w:val="24"/>
          <w:szCs w:val="24"/>
        </w:rPr>
        <w:t xml:space="preserve">coût. </w:t>
      </w:r>
      <w:r w:rsidR="00DF546B" w:rsidRPr="0061020E">
        <w:rPr>
          <w:rFonts w:ascii="Rockwell" w:hAnsi="Rockwell" w:cs="Estrangelo Edessa"/>
          <w:sz w:val="24"/>
          <w:szCs w:val="24"/>
        </w:rPr>
        <w:t xml:space="preserve">C’est l’ensemble </w:t>
      </w:r>
      <w:r w:rsidR="00D23135" w:rsidRPr="0061020E">
        <w:rPr>
          <w:rFonts w:ascii="Rockwell" w:hAnsi="Rockwell" w:cs="Estrangelo Edessa"/>
          <w:sz w:val="24"/>
          <w:szCs w:val="24"/>
        </w:rPr>
        <w:t>des caractéristiques</w:t>
      </w:r>
      <w:r w:rsidR="00DF546B" w:rsidRPr="0061020E">
        <w:rPr>
          <w:rFonts w:ascii="Rockwell" w:hAnsi="Rockwell" w:cs="Estrangelo Edessa"/>
          <w:sz w:val="24"/>
          <w:szCs w:val="24"/>
        </w:rPr>
        <w:t xml:space="preserve"> d’une entité qui lui confèrent l’aptitude à satisfaire des besoins exprimés et implicites.</w:t>
      </w:r>
    </w:p>
    <w:p w:rsidR="00DF546B" w:rsidRPr="0061020E" w:rsidRDefault="00DF546B" w:rsidP="008F6018">
      <w:pPr>
        <w:spacing w:after="120" w:line="240" w:lineRule="auto"/>
        <w:jc w:val="both"/>
        <w:rPr>
          <w:rFonts w:ascii="Rockwell" w:hAnsi="Rockwell" w:cs="Estrangelo Edessa"/>
          <w:sz w:val="24"/>
          <w:szCs w:val="24"/>
        </w:rPr>
      </w:pPr>
      <w:r w:rsidRPr="0061020E">
        <w:rPr>
          <w:rFonts w:ascii="Rockwell" w:eastAsiaTheme="minorEastAsia" w:hAnsi="Rockwell" w:cs="Estrangelo Edessa"/>
          <w:sz w:val="24"/>
          <w:szCs w:val="24"/>
          <w:lang w:bidi="en-US"/>
        </w:rPr>
        <w:t xml:space="preserve">On peut noter quatre dimensions de la qualité que sont : </w:t>
      </w:r>
    </w:p>
    <w:p w:rsidR="00DF546B" w:rsidRPr="0061020E" w:rsidRDefault="00F13275" w:rsidP="008F6018">
      <w:pPr>
        <w:pStyle w:val="Paragraphedeliste"/>
        <w:numPr>
          <w:ilvl w:val="0"/>
          <w:numId w:val="1"/>
        </w:numPr>
        <w:autoSpaceDE w:val="0"/>
        <w:autoSpaceDN w:val="0"/>
        <w:adjustRightInd w:val="0"/>
        <w:spacing w:after="120" w:line="240" w:lineRule="auto"/>
        <w:jc w:val="both"/>
        <w:rPr>
          <w:rFonts w:ascii="Rockwell" w:eastAsia="Calibri" w:hAnsi="Rockwell" w:cs="Estrangelo Edessa"/>
          <w:sz w:val="24"/>
          <w:szCs w:val="24"/>
        </w:rPr>
      </w:pPr>
      <w:r>
        <w:rPr>
          <w:rFonts w:ascii="Rockwell" w:eastAsia="Calibri" w:hAnsi="Rockwell" w:cs="Estrangelo Edessa"/>
          <w:sz w:val="24"/>
          <w:szCs w:val="24"/>
        </w:rPr>
        <w:t>l</w:t>
      </w:r>
      <w:r w:rsidR="00DF546B" w:rsidRPr="0061020E">
        <w:rPr>
          <w:rFonts w:ascii="Rockwell" w:eastAsia="Calibri" w:hAnsi="Rockwell" w:cs="Estrangelo Edessa"/>
          <w:sz w:val="24"/>
          <w:szCs w:val="24"/>
        </w:rPr>
        <w:t>a qualité attendue par le « client » qui  se construit autour de ses besoins et de son expérience antérieure ;</w:t>
      </w:r>
    </w:p>
    <w:p w:rsidR="00DF546B" w:rsidRPr="0061020E" w:rsidRDefault="00F13275" w:rsidP="008F6018">
      <w:pPr>
        <w:pStyle w:val="Paragraphedeliste"/>
        <w:numPr>
          <w:ilvl w:val="0"/>
          <w:numId w:val="1"/>
        </w:numPr>
        <w:autoSpaceDE w:val="0"/>
        <w:autoSpaceDN w:val="0"/>
        <w:adjustRightInd w:val="0"/>
        <w:spacing w:after="120" w:line="240" w:lineRule="auto"/>
        <w:jc w:val="both"/>
        <w:rPr>
          <w:rFonts w:ascii="Rockwell" w:eastAsia="Calibri" w:hAnsi="Rockwell" w:cs="Estrangelo Edessa"/>
          <w:sz w:val="24"/>
          <w:szCs w:val="24"/>
        </w:rPr>
      </w:pPr>
      <w:r>
        <w:rPr>
          <w:rFonts w:ascii="Rockwell" w:eastAsia="Calibri" w:hAnsi="Rockwell" w:cs="Estrangelo Edessa"/>
          <w:sz w:val="24"/>
          <w:szCs w:val="24"/>
        </w:rPr>
        <w:t>l</w:t>
      </w:r>
      <w:r w:rsidR="00DF546B" w:rsidRPr="0061020E">
        <w:rPr>
          <w:rFonts w:ascii="Rockwell" w:eastAsia="Calibri" w:hAnsi="Rockwell" w:cs="Estrangelo Edessa"/>
          <w:sz w:val="24"/>
          <w:szCs w:val="24"/>
        </w:rPr>
        <w:t xml:space="preserve">a qualité perçue qui est celle qu’expérimente le « client », elle dépend de la qualité attendue et de la qualité effectivement délivrée ; </w:t>
      </w:r>
    </w:p>
    <w:p w:rsidR="00DF546B" w:rsidRPr="0061020E" w:rsidRDefault="00F13275" w:rsidP="008F6018">
      <w:pPr>
        <w:pStyle w:val="Paragraphedeliste"/>
        <w:numPr>
          <w:ilvl w:val="0"/>
          <w:numId w:val="1"/>
        </w:numPr>
        <w:autoSpaceDE w:val="0"/>
        <w:autoSpaceDN w:val="0"/>
        <w:adjustRightInd w:val="0"/>
        <w:spacing w:after="120" w:line="240" w:lineRule="auto"/>
        <w:jc w:val="both"/>
        <w:rPr>
          <w:rFonts w:ascii="Rockwell" w:eastAsia="Calibri" w:hAnsi="Rockwell" w:cs="Estrangelo Edessa"/>
          <w:sz w:val="24"/>
          <w:szCs w:val="24"/>
        </w:rPr>
      </w:pPr>
      <w:r>
        <w:rPr>
          <w:rFonts w:ascii="Rockwell" w:eastAsia="Calibri" w:hAnsi="Rockwell" w:cs="Estrangelo Edessa"/>
          <w:sz w:val="24"/>
          <w:szCs w:val="24"/>
        </w:rPr>
        <w:t>l</w:t>
      </w:r>
      <w:r w:rsidR="00DF546B" w:rsidRPr="0061020E">
        <w:rPr>
          <w:rFonts w:ascii="Rockwell" w:eastAsia="Calibri" w:hAnsi="Rockwell" w:cs="Estrangelo Edessa"/>
          <w:sz w:val="24"/>
          <w:szCs w:val="24"/>
        </w:rPr>
        <w:t xml:space="preserve">a qualité voulue est définie par les « fournisseurs » eux-mêmes et le législateur ; </w:t>
      </w:r>
    </w:p>
    <w:p w:rsidR="00DF546B" w:rsidRPr="0061020E" w:rsidRDefault="00DF546B" w:rsidP="008F6018">
      <w:pPr>
        <w:pStyle w:val="Paragraphedeliste"/>
        <w:numPr>
          <w:ilvl w:val="0"/>
          <w:numId w:val="1"/>
        </w:numPr>
        <w:autoSpaceDE w:val="0"/>
        <w:autoSpaceDN w:val="0"/>
        <w:adjustRightInd w:val="0"/>
        <w:spacing w:after="120" w:line="240" w:lineRule="auto"/>
        <w:jc w:val="both"/>
        <w:rPr>
          <w:rFonts w:ascii="Rockwell" w:eastAsia="Calibri" w:hAnsi="Rockwell" w:cs="Estrangelo Edessa"/>
          <w:sz w:val="24"/>
          <w:szCs w:val="24"/>
        </w:rPr>
      </w:pPr>
      <w:r w:rsidRPr="0061020E">
        <w:rPr>
          <w:rFonts w:ascii="Rockwell" w:eastAsia="Calibri" w:hAnsi="Rockwell" w:cs="Estrangelo Edessa"/>
          <w:sz w:val="24"/>
          <w:szCs w:val="24"/>
        </w:rPr>
        <w:t>la qualité délivrée est celle de la prestation fournie</w:t>
      </w:r>
    </w:p>
    <w:p w:rsidR="00717ACC" w:rsidRPr="0061020E" w:rsidRDefault="00717ACC" w:rsidP="008F6018">
      <w:pPr>
        <w:pStyle w:val="Paragraphedeliste"/>
        <w:autoSpaceDE w:val="0"/>
        <w:autoSpaceDN w:val="0"/>
        <w:adjustRightInd w:val="0"/>
        <w:spacing w:after="120" w:line="240" w:lineRule="auto"/>
        <w:jc w:val="both"/>
        <w:rPr>
          <w:rFonts w:ascii="Rockwell" w:eastAsia="Calibri" w:hAnsi="Rockwell" w:cs="Estrangelo Edessa"/>
          <w:sz w:val="24"/>
          <w:szCs w:val="24"/>
        </w:rPr>
      </w:pPr>
    </w:p>
    <w:p w:rsidR="00DF546B" w:rsidRPr="000B58B3" w:rsidRDefault="00DF546B" w:rsidP="008F6018">
      <w:pPr>
        <w:pStyle w:val="Titre3"/>
        <w:numPr>
          <w:ilvl w:val="0"/>
          <w:numId w:val="84"/>
        </w:numPr>
        <w:spacing w:before="0" w:after="120" w:line="240" w:lineRule="auto"/>
        <w:jc w:val="both"/>
        <w:rPr>
          <w:rFonts w:ascii="Rockwell" w:hAnsi="Rockwell"/>
          <w:b w:val="0"/>
          <w:color w:val="auto"/>
          <w:sz w:val="24"/>
          <w:szCs w:val="24"/>
        </w:rPr>
      </w:pPr>
      <w:bookmarkStart w:id="9" w:name="_Toc505063258"/>
      <w:r w:rsidRPr="000B58B3">
        <w:rPr>
          <w:rFonts w:ascii="Rockwell" w:hAnsi="Rockwell"/>
          <w:color w:val="auto"/>
          <w:sz w:val="24"/>
          <w:szCs w:val="24"/>
        </w:rPr>
        <w:t>Le management de la qualité</w:t>
      </w:r>
      <w:bookmarkEnd w:id="9"/>
    </w:p>
    <w:p w:rsidR="00DF546B" w:rsidRPr="00DA46E2" w:rsidRDefault="00DF546B" w:rsidP="008F6018">
      <w:pPr>
        <w:spacing w:after="120" w:line="240" w:lineRule="auto"/>
        <w:jc w:val="both"/>
        <w:rPr>
          <w:rFonts w:ascii="Rockwell" w:hAnsi="Rockwell" w:cs="Estrangelo Edessa"/>
          <w:sz w:val="24"/>
          <w:szCs w:val="24"/>
        </w:rPr>
      </w:pPr>
      <w:r w:rsidRPr="00DA46E2">
        <w:rPr>
          <w:rFonts w:ascii="Rockwell" w:hAnsi="Rockwell" w:cs="Estrangelo Edessa"/>
          <w:sz w:val="24"/>
          <w:szCs w:val="24"/>
        </w:rPr>
        <w:t>Le management est un mot anglais qui  signifie « conduite, direction d’une entreprise ».</w:t>
      </w:r>
      <w:r w:rsidR="00DA46E2">
        <w:rPr>
          <w:rFonts w:ascii="Rockwell" w:hAnsi="Rockwell" w:cs="Estrangelo Edessa"/>
          <w:sz w:val="24"/>
          <w:szCs w:val="24"/>
        </w:rPr>
        <w:t xml:space="preserve"> C’est un e</w:t>
      </w:r>
      <w:r w:rsidRPr="00DA46E2">
        <w:rPr>
          <w:rFonts w:ascii="Rockwell" w:hAnsi="Rockwell" w:cs="Estrangelo Edessa"/>
          <w:sz w:val="24"/>
          <w:szCs w:val="24"/>
        </w:rPr>
        <w:t>nsemble des techniques d’organisation et de gestion d’une affaire, d’une entreprise.</w:t>
      </w:r>
    </w:p>
    <w:p w:rsidR="00DF546B" w:rsidRPr="0061020E" w:rsidRDefault="00DF546B" w:rsidP="008F6018">
      <w:pPr>
        <w:pStyle w:val="Paragraphedeliste"/>
        <w:spacing w:after="120" w:line="240" w:lineRule="auto"/>
        <w:jc w:val="both"/>
        <w:rPr>
          <w:rFonts w:ascii="Rockwell" w:hAnsi="Rockwell" w:cs="Estrangelo Edessa"/>
          <w:sz w:val="24"/>
          <w:szCs w:val="24"/>
        </w:rPr>
      </w:pPr>
    </w:p>
    <w:p w:rsidR="000D2ED8" w:rsidRPr="000B58B3" w:rsidRDefault="000D2ED8" w:rsidP="008F6018">
      <w:pPr>
        <w:pStyle w:val="Titre3"/>
        <w:numPr>
          <w:ilvl w:val="0"/>
          <w:numId w:val="84"/>
        </w:numPr>
        <w:spacing w:before="0" w:after="120" w:line="240" w:lineRule="auto"/>
        <w:jc w:val="both"/>
        <w:rPr>
          <w:rFonts w:ascii="Rockwell" w:hAnsi="Rockwell"/>
          <w:b w:val="0"/>
          <w:color w:val="auto"/>
          <w:sz w:val="24"/>
          <w:szCs w:val="24"/>
        </w:rPr>
      </w:pPr>
      <w:bookmarkStart w:id="10" w:name="_Toc505063259"/>
      <w:r w:rsidRPr="000B58B3">
        <w:rPr>
          <w:rFonts w:ascii="Rockwell" w:hAnsi="Rockwell"/>
          <w:color w:val="auto"/>
          <w:sz w:val="24"/>
          <w:szCs w:val="24"/>
        </w:rPr>
        <w:t>La sûreté de fonctionnement</w:t>
      </w:r>
      <w:bookmarkEnd w:id="10"/>
      <w:r w:rsidRPr="000B58B3">
        <w:rPr>
          <w:rFonts w:ascii="Rockwell" w:hAnsi="Rockwell"/>
          <w:color w:val="auto"/>
          <w:sz w:val="24"/>
          <w:szCs w:val="24"/>
        </w:rPr>
        <w:t xml:space="preserve"> </w:t>
      </w:r>
    </w:p>
    <w:p w:rsidR="000D2ED8" w:rsidRPr="0061020E" w:rsidRDefault="000D2ED8"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La s</w:t>
      </w:r>
      <w:r w:rsidR="00F13275">
        <w:rPr>
          <w:rFonts w:ascii="Rockwell" w:hAnsi="Rockwell" w:cs="Estrangelo Edessa"/>
          <w:sz w:val="24"/>
          <w:szCs w:val="24"/>
        </w:rPr>
        <w:t>û</w:t>
      </w:r>
      <w:r w:rsidRPr="0061020E">
        <w:rPr>
          <w:rFonts w:ascii="Rockwell" w:hAnsi="Rockwell" w:cs="Estrangelo Edessa"/>
          <w:sz w:val="24"/>
          <w:szCs w:val="24"/>
        </w:rPr>
        <w:t>reté de fonctionnement est le maintien des</w:t>
      </w:r>
      <w:r w:rsidR="00F13275">
        <w:rPr>
          <w:rFonts w:ascii="Rockwell" w:hAnsi="Rockwell" w:cs="Estrangelo Edessa"/>
          <w:sz w:val="24"/>
          <w:szCs w:val="24"/>
        </w:rPr>
        <w:t xml:space="preserve"> caractéristiques d'un produit,</w:t>
      </w:r>
      <w:r w:rsidR="00FE1EC0" w:rsidRPr="0061020E">
        <w:rPr>
          <w:rFonts w:ascii="Rockwell" w:hAnsi="Rockwell" w:cs="Estrangelo Edessa"/>
          <w:sz w:val="24"/>
          <w:szCs w:val="24"/>
        </w:rPr>
        <w:t xml:space="preserve"> tout au long </w:t>
      </w:r>
      <w:r w:rsidRPr="0061020E">
        <w:rPr>
          <w:rFonts w:ascii="Rockwell" w:hAnsi="Rockwell" w:cs="Estrangelo Edessa"/>
          <w:sz w:val="24"/>
          <w:szCs w:val="24"/>
        </w:rPr>
        <w:t>de son cycle de vie</w:t>
      </w:r>
      <w:r w:rsidR="001A0B6A" w:rsidRPr="0061020E">
        <w:rPr>
          <w:rFonts w:ascii="Rockwell" w:hAnsi="Rockwell" w:cs="Estrangelo Edessa"/>
          <w:sz w:val="24"/>
          <w:szCs w:val="24"/>
        </w:rPr>
        <w:t xml:space="preserve"> [1]</w:t>
      </w:r>
      <w:r w:rsidRPr="0061020E">
        <w:rPr>
          <w:rFonts w:ascii="Rockwell" w:hAnsi="Rockwell" w:cs="Estrangelo Edessa"/>
          <w:sz w:val="24"/>
          <w:szCs w:val="24"/>
        </w:rPr>
        <w:t xml:space="preserve">. </w:t>
      </w:r>
    </w:p>
    <w:p w:rsidR="000D2ED8" w:rsidRPr="0061020E" w:rsidRDefault="000D2ED8"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Elle recouvre cinq concepts</w:t>
      </w:r>
      <w:r w:rsidR="00DA46E2">
        <w:rPr>
          <w:rFonts w:ascii="Rockwell" w:hAnsi="Rockwell" w:cs="Estrangelo Edessa"/>
          <w:sz w:val="24"/>
          <w:szCs w:val="24"/>
        </w:rPr>
        <w:t xml:space="preserve"> expliqués dans le tableau suivant</w:t>
      </w:r>
      <w:r w:rsidRPr="0061020E">
        <w:rPr>
          <w:rFonts w:ascii="Rockwell" w:hAnsi="Rockwell" w:cs="Estrangelo Edessa"/>
          <w:sz w:val="24"/>
          <w:szCs w:val="24"/>
        </w:rPr>
        <w:t xml:space="preserve"> :</w:t>
      </w:r>
    </w:p>
    <w:tbl>
      <w:tblPr>
        <w:tblStyle w:val="Grilledutableau"/>
        <w:tblW w:w="0" w:type="auto"/>
        <w:tblLook w:val="04A0" w:firstRow="1" w:lastRow="0" w:firstColumn="1" w:lastColumn="0" w:noHBand="0" w:noVBand="1"/>
      </w:tblPr>
      <w:tblGrid>
        <w:gridCol w:w="4776"/>
        <w:gridCol w:w="4776"/>
      </w:tblGrid>
      <w:tr w:rsidR="00DA46E2" w:rsidTr="00DA46E2">
        <w:tc>
          <w:tcPr>
            <w:tcW w:w="4776" w:type="dxa"/>
          </w:tcPr>
          <w:p w:rsidR="00DA46E2" w:rsidRPr="0061020E" w:rsidRDefault="00DA46E2" w:rsidP="008F6018">
            <w:pPr>
              <w:spacing w:after="120"/>
              <w:jc w:val="both"/>
              <w:rPr>
                <w:rFonts w:ascii="Rockwell" w:eastAsia="Calibri" w:hAnsi="Rockwell"/>
                <w:b/>
                <w:sz w:val="24"/>
                <w:szCs w:val="24"/>
              </w:rPr>
            </w:pPr>
            <w:r w:rsidRPr="0061020E">
              <w:rPr>
                <w:rFonts w:ascii="Rockwell" w:eastAsia="Calibri" w:hAnsi="Rockwell"/>
                <w:b/>
                <w:sz w:val="24"/>
                <w:szCs w:val="24"/>
              </w:rPr>
              <w:t>Fiabilité</w:t>
            </w:r>
          </w:p>
          <w:p w:rsidR="00DA46E2"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Aptitude d'un produit à accomplir une fonction requise, dans des conditions données, pendant un temps donné.</w:t>
            </w:r>
          </w:p>
          <w:p w:rsidR="00DA46E2" w:rsidRDefault="00DA46E2" w:rsidP="008F6018">
            <w:pPr>
              <w:spacing w:after="120"/>
              <w:jc w:val="both"/>
              <w:rPr>
                <w:rFonts w:ascii="Rockwell" w:eastAsia="Calibri" w:hAnsi="Rockwell"/>
                <w:b/>
                <w:sz w:val="24"/>
                <w:szCs w:val="24"/>
              </w:rPr>
            </w:pPr>
          </w:p>
        </w:tc>
        <w:tc>
          <w:tcPr>
            <w:tcW w:w="4776" w:type="dxa"/>
          </w:tcPr>
          <w:p w:rsidR="00DA46E2" w:rsidRPr="0061020E" w:rsidRDefault="00DA46E2" w:rsidP="008F6018">
            <w:pPr>
              <w:spacing w:after="120"/>
              <w:jc w:val="both"/>
              <w:rPr>
                <w:rFonts w:ascii="Rockwell" w:eastAsia="Calibri" w:hAnsi="Rockwell"/>
                <w:b/>
                <w:sz w:val="24"/>
                <w:szCs w:val="24"/>
              </w:rPr>
            </w:pPr>
            <w:r w:rsidRPr="0061020E">
              <w:rPr>
                <w:rFonts w:ascii="Rockwell" w:eastAsia="Calibri" w:hAnsi="Rockwell"/>
                <w:b/>
                <w:sz w:val="24"/>
                <w:szCs w:val="24"/>
              </w:rPr>
              <w:t>Maintenabilité</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Aptitude d'un produit à être maintenu ou rétabli, pendant un intervalle de temps donné, dans un état dans lequel il peut accomplir une fonction requise, lorsque l'exploitation et la maintenance sont accomplies dans des conditions données avec des procédures et des moyens prescrits [1].</w:t>
            </w:r>
          </w:p>
          <w:p w:rsidR="00DA46E2" w:rsidRPr="000B58B3"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lastRenderedPageBreak/>
              <w:t>La maintenabilité traduit donc</w:t>
            </w:r>
            <w:r w:rsidR="009D0107">
              <w:rPr>
                <w:rFonts w:ascii="Rockwell" w:hAnsi="Rockwell" w:cs="Estrangelo Edessa"/>
                <w:sz w:val="24"/>
                <w:szCs w:val="24"/>
              </w:rPr>
              <w:t>,</w:t>
            </w:r>
            <w:r w:rsidRPr="0061020E">
              <w:rPr>
                <w:rFonts w:ascii="Rockwell" w:hAnsi="Rockwell" w:cs="Estrangelo Edessa"/>
                <w:sz w:val="24"/>
                <w:szCs w:val="24"/>
              </w:rPr>
              <w:t xml:space="preserve"> l'aptitude d'un produit à être maintenu en fonction ou à reprendre sa fonction</w:t>
            </w:r>
            <w:r w:rsidR="009D0107">
              <w:rPr>
                <w:rFonts w:ascii="Rockwell" w:hAnsi="Rockwell" w:cs="Estrangelo Edessa"/>
                <w:sz w:val="24"/>
                <w:szCs w:val="24"/>
              </w:rPr>
              <w:t>,</w:t>
            </w:r>
            <w:r w:rsidRPr="0061020E">
              <w:rPr>
                <w:rFonts w:ascii="Rockwell" w:hAnsi="Rockwell" w:cs="Estrangelo Edessa"/>
                <w:sz w:val="24"/>
                <w:szCs w:val="24"/>
              </w:rPr>
              <w:t xml:space="preserve"> après défaillance.</w:t>
            </w:r>
          </w:p>
        </w:tc>
      </w:tr>
      <w:tr w:rsidR="00DA46E2" w:rsidTr="00DA46E2">
        <w:tc>
          <w:tcPr>
            <w:tcW w:w="4776" w:type="dxa"/>
          </w:tcPr>
          <w:p w:rsidR="00DA46E2" w:rsidRPr="0061020E" w:rsidRDefault="00DA46E2" w:rsidP="008F6018">
            <w:pPr>
              <w:spacing w:after="120"/>
              <w:jc w:val="both"/>
              <w:rPr>
                <w:rFonts w:ascii="Rockwell" w:eastAsia="Calibri" w:hAnsi="Rockwell"/>
                <w:b/>
                <w:sz w:val="24"/>
                <w:szCs w:val="24"/>
              </w:rPr>
            </w:pPr>
            <w:r w:rsidRPr="0061020E">
              <w:rPr>
                <w:rFonts w:ascii="Rockwell" w:eastAsia="Calibri" w:hAnsi="Rockwell"/>
                <w:b/>
                <w:sz w:val="24"/>
                <w:szCs w:val="24"/>
              </w:rPr>
              <w:lastRenderedPageBreak/>
              <w:t>Disponibilité</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Aptitude d'un bien, sous les aspects combinés de sa fiabilité, de sa maintenabilité et de l'organisation de sa maintenance, à être en état d'accomplir une fonction requise dans des conditions de temps déterminées [1].</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La disponibilité traduit donc</w:t>
            </w:r>
            <w:r w:rsidR="009D0107">
              <w:rPr>
                <w:rFonts w:ascii="Rockwell" w:hAnsi="Rockwell" w:cs="Estrangelo Edessa"/>
                <w:sz w:val="24"/>
                <w:szCs w:val="24"/>
              </w:rPr>
              <w:t>,</w:t>
            </w:r>
            <w:r w:rsidRPr="0061020E">
              <w:rPr>
                <w:rFonts w:ascii="Rockwell" w:hAnsi="Rockwell" w:cs="Estrangelo Edessa"/>
                <w:sz w:val="24"/>
                <w:szCs w:val="24"/>
              </w:rPr>
              <w:t xml:space="preserve"> l'aptitude d'un bien à fonctionner</w:t>
            </w:r>
            <w:r w:rsidR="009D0107">
              <w:rPr>
                <w:rFonts w:ascii="Rockwell" w:hAnsi="Rockwell" w:cs="Estrangelo Edessa"/>
                <w:sz w:val="24"/>
                <w:szCs w:val="24"/>
              </w:rPr>
              <w:t>,</w:t>
            </w:r>
            <w:r w:rsidRPr="0061020E">
              <w:rPr>
                <w:rFonts w:ascii="Rockwell" w:hAnsi="Rockwell" w:cs="Estrangelo Edessa"/>
                <w:sz w:val="24"/>
                <w:szCs w:val="24"/>
              </w:rPr>
              <w:t xml:space="preserve"> quand on en a besoin.</w:t>
            </w:r>
          </w:p>
          <w:p w:rsidR="00DA46E2" w:rsidRDefault="00DA46E2" w:rsidP="008F6018">
            <w:pPr>
              <w:spacing w:after="120"/>
              <w:jc w:val="both"/>
              <w:rPr>
                <w:rFonts w:ascii="Rockwell" w:eastAsia="Calibri" w:hAnsi="Rockwell"/>
                <w:b/>
                <w:sz w:val="24"/>
                <w:szCs w:val="24"/>
              </w:rPr>
            </w:pPr>
          </w:p>
        </w:tc>
        <w:tc>
          <w:tcPr>
            <w:tcW w:w="4776" w:type="dxa"/>
          </w:tcPr>
          <w:p w:rsidR="00DA46E2" w:rsidRPr="0061020E" w:rsidRDefault="00DA46E2" w:rsidP="008F6018">
            <w:pPr>
              <w:spacing w:after="120"/>
              <w:jc w:val="both"/>
              <w:rPr>
                <w:rFonts w:ascii="Rockwell" w:eastAsia="Calibri" w:hAnsi="Rockwell"/>
                <w:b/>
                <w:sz w:val="24"/>
                <w:szCs w:val="24"/>
              </w:rPr>
            </w:pPr>
            <w:r w:rsidRPr="0061020E">
              <w:rPr>
                <w:rFonts w:ascii="Rockwell" w:eastAsia="Calibri" w:hAnsi="Rockwell"/>
                <w:b/>
                <w:sz w:val="24"/>
                <w:szCs w:val="24"/>
              </w:rPr>
              <w:t>Soutien (logistique)</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Ensemble des t</w:t>
            </w:r>
            <w:r w:rsidR="009D0107">
              <w:rPr>
                <w:rFonts w:ascii="Rockwell" w:hAnsi="Rockwell" w:cs="Estrangelo Edessa"/>
                <w:sz w:val="24"/>
                <w:szCs w:val="24"/>
              </w:rPr>
              <w:t>â</w:t>
            </w:r>
            <w:r w:rsidRPr="0061020E">
              <w:rPr>
                <w:rFonts w:ascii="Rockwell" w:hAnsi="Rockwell" w:cs="Estrangelo Edessa"/>
                <w:sz w:val="24"/>
                <w:szCs w:val="24"/>
              </w:rPr>
              <w:t>ches exécutées sur un système et comprenant :</w:t>
            </w:r>
          </w:p>
          <w:p w:rsidR="00DA46E2" w:rsidRPr="0061020E" w:rsidRDefault="00DA46E2" w:rsidP="008F6018">
            <w:pPr>
              <w:pStyle w:val="Paragraphedeliste"/>
              <w:numPr>
                <w:ilvl w:val="0"/>
                <w:numId w:val="55"/>
              </w:numPr>
              <w:spacing w:after="120"/>
              <w:jc w:val="both"/>
              <w:rPr>
                <w:rFonts w:ascii="Rockwell" w:hAnsi="Rockwell" w:cs="Estrangelo Edessa"/>
                <w:sz w:val="24"/>
                <w:szCs w:val="24"/>
              </w:rPr>
            </w:pPr>
            <w:r w:rsidRPr="0061020E">
              <w:rPr>
                <w:rFonts w:ascii="Rockwell" w:hAnsi="Rockwell" w:cs="Estrangelo Edessa"/>
                <w:sz w:val="24"/>
                <w:szCs w:val="24"/>
              </w:rPr>
              <w:t>le maintien ou le rétablissement de la disponibilité du système ;</w:t>
            </w:r>
          </w:p>
          <w:p w:rsidR="00DA46E2" w:rsidRPr="0061020E" w:rsidRDefault="00DA46E2" w:rsidP="008F6018">
            <w:pPr>
              <w:pStyle w:val="Paragraphedeliste"/>
              <w:numPr>
                <w:ilvl w:val="0"/>
                <w:numId w:val="55"/>
              </w:numPr>
              <w:spacing w:after="120"/>
              <w:jc w:val="both"/>
              <w:rPr>
                <w:rFonts w:ascii="Rockwell" w:hAnsi="Rockwell" w:cs="Estrangelo Edessa"/>
                <w:sz w:val="24"/>
                <w:szCs w:val="24"/>
              </w:rPr>
            </w:pPr>
            <w:r w:rsidRPr="0061020E">
              <w:rPr>
                <w:rFonts w:ascii="Rockwell" w:hAnsi="Rockwell" w:cs="Estrangelo Edessa"/>
                <w:sz w:val="24"/>
                <w:szCs w:val="24"/>
              </w:rPr>
              <w:t>la mise à disposition de l'exploitant et des réparateurs divers, des articles de ravitaillement, de la documentation, des outillages, des moyens logistiques  et d’infrastructure</w:t>
            </w:r>
            <w:r w:rsidR="009D0107">
              <w:rPr>
                <w:rFonts w:ascii="Rockwell" w:hAnsi="Rockwell" w:cs="Estrangelo Edessa"/>
                <w:sz w:val="24"/>
                <w:szCs w:val="24"/>
              </w:rPr>
              <w:t>s</w:t>
            </w:r>
            <w:r w:rsidRPr="0061020E">
              <w:rPr>
                <w:rFonts w:ascii="Rockwell" w:hAnsi="Rockwell" w:cs="Estrangelo Edessa"/>
                <w:sz w:val="24"/>
                <w:szCs w:val="24"/>
              </w:rPr>
              <w:t xml:space="preserve"> dont ils ont besoin pour exécuter les  tâches qui leur sont attribuées ;</w:t>
            </w:r>
          </w:p>
          <w:p w:rsidR="00DA46E2" w:rsidRPr="0061020E" w:rsidRDefault="00DA46E2" w:rsidP="008F6018">
            <w:pPr>
              <w:pStyle w:val="Paragraphedeliste"/>
              <w:numPr>
                <w:ilvl w:val="0"/>
                <w:numId w:val="55"/>
              </w:numPr>
              <w:spacing w:after="120"/>
              <w:jc w:val="both"/>
              <w:rPr>
                <w:rFonts w:ascii="Rockwell" w:hAnsi="Rockwell" w:cs="Estrangelo Edessa"/>
                <w:sz w:val="24"/>
                <w:szCs w:val="24"/>
              </w:rPr>
            </w:pPr>
            <w:r w:rsidRPr="0061020E">
              <w:rPr>
                <w:rFonts w:ascii="Rockwell" w:hAnsi="Rockwell" w:cs="Estrangelo Edessa"/>
                <w:sz w:val="24"/>
                <w:szCs w:val="24"/>
              </w:rPr>
              <w:t>la formation des utilisateurs ;</w:t>
            </w:r>
          </w:p>
          <w:p w:rsidR="00DA46E2" w:rsidRPr="000B58B3" w:rsidRDefault="00DA46E2" w:rsidP="008F6018">
            <w:pPr>
              <w:pStyle w:val="Paragraphedeliste"/>
              <w:numPr>
                <w:ilvl w:val="0"/>
                <w:numId w:val="55"/>
              </w:numPr>
              <w:spacing w:after="120"/>
              <w:jc w:val="both"/>
              <w:rPr>
                <w:rFonts w:ascii="Rockwell" w:hAnsi="Rockwell" w:cs="Estrangelo Edessa"/>
                <w:sz w:val="24"/>
                <w:szCs w:val="24"/>
              </w:rPr>
            </w:pPr>
            <w:r w:rsidRPr="0061020E">
              <w:rPr>
                <w:rFonts w:ascii="Rockwell" w:hAnsi="Rockwell" w:cs="Estrangelo Edessa"/>
                <w:sz w:val="24"/>
                <w:szCs w:val="24"/>
              </w:rPr>
              <w:t>le suivi technique du système en service.</w:t>
            </w:r>
          </w:p>
        </w:tc>
      </w:tr>
      <w:tr w:rsidR="00DA46E2" w:rsidTr="007A69B2">
        <w:tc>
          <w:tcPr>
            <w:tcW w:w="9552" w:type="dxa"/>
            <w:gridSpan w:val="2"/>
          </w:tcPr>
          <w:p w:rsidR="00DA46E2" w:rsidRPr="0061020E" w:rsidRDefault="00DA46E2" w:rsidP="008F6018">
            <w:pPr>
              <w:spacing w:after="120"/>
              <w:jc w:val="both"/>
              <w:rPr>
                <w:rFonts w:ascii="Rockwell" w:eastAsia="Calibri" w:hAnsi="Rockwell"/>
                <w:b/>
                <w:sz w:val="24"/>
                <w:szCs w:val="24"/>
              </w:rPr>
            </w:pPr>
            <w:r w:rsidRPr="0061020E">
              <w:rPr>
                <w:rFonts w:ascii="Rockwell" w:eastAsia="Calibri" w:hAnsi="Rockwell"/>
                <w:b/>
                <w:sz w:val="24"/>
                <w:szCs w:val="24"/>
              </w:rPr>
              <w:t>Sécurité</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Absence de circonstance susceptible d'occasionner, avec une probabilité inacceptable, soit accident ou mort de personne, soit dégradation ou perte de bien.</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La sécurité traduit donc</w:t>
            </w:r>
            <w:r w:rsidR="009D0107">
              <w:rPr>
                <w:rFonts w:ascii="Rockwell" w:hAnsi="Rockwell" w:cs="Estrangelo Edessa"/>
                <w:sz w:val="24"/>
                <w:szCs w:val="24"/>
              </w:rPr>
              <w:t>,</w:t>
            </w:r>
            <w:r w:rsidRPr="0061020E">
              <w:rPr>
                <w:rFonts w:ascii="Rockwell" w:hAnsi="Rockwell" w:cs="Estrangelo Edessa"/>
                <w:sz w:val="24"/>
                <w:szCs w:val="24"/>
              </w:rPr>
              <w:t xml:space="preserve"> l'aptitude du produit à éviter les évènements indésirables pour le personnel, le public ou l'environnement.</w:t>
            </w:r>
          </w:p>
          <w:p w:rsidR="00DA46E2" w:rsidRPr="0061020E" w:rsidRDefault="00DA46E2" w:rsidP="008F6018">
            <w:pPr>
              <w:spacing w:after="120"/>
              <w:jc w:val="both"/>
              <w:rPr>
                <w:rFonts w:ascii="Rockwell" w:hAnsi="Rockwell" w:cs="Estrangelo Edessa"/>
                <w:sz w:val="24"/>
                <w:szCs w:val="24"/>
              </w:rPr>
            </w:pPr>
            <w:r w:rsidRPr="0061020E">
              <w:rPr>
                <w:rFonts w:ascii="Rockwell" w:hAnsi="Rockwell" w:cs="Estrangelo Edessa"/>
                <w:sz w:val="24"/>
                <w:szCs w:val="24"/>
              </w:rPr>
              <w:t>Ces cinq concepts complémentaires permettent de quantifier les performances de fonctionnement d'un produit ou d'un système complexe. Par exemple, la fiabilité d'un système peut être déterminée à partir de la fiabilité de chacun de ses composant</w:t>
            </w:r>
            <w:r w:rsidR="009D0107">
              <w:rPr>
                <w:rFonts w:ascii="Rockwell" w:hAnsi="Rockwell" w:cs="Estrangelo Edessa"/>
                <w:sz w:val="24"/>
                <w:szCs w:val="24"/>
              </w:rPr>
              <w:t>e</w:t>
            </w:r>
            <w:r w:rsidRPr="0061020E">
              <w:rPr>
                <w:rFonts w:ascii="Rockwell" w:hAnsi="Rockwell" w:cs="Estrangelo Edessa"/>
                <w:sz w:val="24"/>
                <w:szCs w:val="24"/>
              </w:rPr>
              <w:t>s.</w:t>
            </w:r>
          </w:p>
          <w:p w:rsidR="00DA46E2" w:rsidRPr="000B58B3" w:rsidRDefault="00DA46E2" w:rsidP="009D0107">
            <w:pPr>
              <w:spacing w:after="120"/>
              <w:jc w:val="both"/>
              <w:rPr>
                <w:rFonts w:ascii="Rockwell" w:hAnsi="Rockwell" w:cs="Estrangelo Edessa"/>
                <w:sz w:val="24"/>
                <w:szCs w:val="24"/>
              </w:rPr>
            </w:pPr>
            <w:r w:rsidRPr="0061020E">
              <w:rPr>
                <w:rFonts w:ascii="Rockwell" w:hAnsi="Rockwell" w:cs="Estrangelo Edessa"/>
                <w:sz w:val="24"/>
                <w:szCs w:val="24"/>
              </w:rPr>
              <w:t>La s</w:t>
            </w:r>
            <w:r w:rsidR="009D0107">
              <w:rPr>
                <w:rFonts w:ascii="Rockwell" w:hAnsi="Rockwell" w:cs="Estrangelo Edessa"/>
                <w:sz w:val="24"/>
                <w:szCs w:val="24"/>
              </w:rPr>
              <w:t>û</w:t>
            </w:r>
            <w:r w:rsidRPr="0061020E">
              <w:rPr>
                <w:rFonts w:ascii="Rockwell" w:hAnsi="Rockwell" w:cs="Estrangelo Edessa"/>
                <w:sz w:val="24"/>
                <w:szCs w:val="24"/>
              </w:rPr>
              <w:t>reté de fonctionnement, outil de conception, est aussi utilisée en maintenance, pour le diagnostic, l'organisation de la maintenance et le soutien logistique.</w:t>
            </w:r>
          </w:p>
        </w:tc>
      </w:tr>
    </w:tbl>
    <w:p w:rsidR="008B1A89" w:rsidRDefault="008B1A89" w:rsidP="008F6018">
      <w:pPr>
        <w:spacing w:after="120" w:line="240" w:lineRule="auto"/>
        <w:jc w:val="both"/>
        <w:rPr>
          <w:rFonts w:ascii="Rockwell" w:hAnsi="Rockwell" w:cs="Estrangelo Edessa"/>
          <w:sz w:val="24"/>
          <w:szCs w:val="24"/>
        </w:rPr>
      </w:pPr>
    </w:p>
    <w:p w:rsidR="00422FAF" w:rsidRPr="004165B7" w:rsidRDefault="00422FAF" w:rsidP="008F6018">
      <w:pPr>
        <w:pStyle w:val="Titre3"/>
        <w:numPr>
          <w:ilvl w:val="0"/>
          <w:numId w:val="84"/>
        </w:numPr>
        <w:spacing w:before="0" w:after="120" w:line="240" w:lineRule="auto"/>
        <w:jc w:val="both"/>
        <w:rPr>
          <w:rFonts w:ascii="Rockwell" w:hAnsi="Rockwell"/>
          <w:color w:val="auto"/>
          <w:sz w:val="24"/>
          <w:szCs w:val="24"/>
        </w:rPr>
      </w:pPr>
      <w:bookmarkStart w:id="11" w:name="_Toc505063260"/>
      <w:r w:rsidRPr="004165B7">
        <w:rPr>
          <w:rFonts w:ascii="Rockwell" w:hAnsi="Rockwell"/>
          <w:color w:val="auto"/>
          <w:sz w:val="24"/>
          <w:szCs w:val="24"/>
        </w:rPr>
        <w:t>Autres termes et définitions utiles</w:t>
      </w:r>
      <w:bookmarkEnd w:id="11"/>
    </w:p>
    <w:p w:rsidR="001A0B6A" w:rsidRPr="0061020E" w:rsidRDefault="001A0B6A" w:rsidP="008F6018">
      <w:pPr>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A</w:t>
      </w:r>
      <w:r w:rsidRPr="0061020E">
        <w:rPr>
          <w:rFonts w:ascii="Rockwell" w:hAnsi="Rockwell" w:cs="Estrangelo Edessa"/>
          <w:b/>
          <w:sz w:val="24"/>
          <w:szCs w:val="24"/>
        </w:rPr>
        <w:t>ccréditation</w:t>
      </w:r>
      <w:r w:rsidRPr="0061020E">
        <w:rPr>
          <w:rFonts w:ascii="Rockwell" w:eastAsia="Calibri" w:hAnsi="Rockwell"/>
          <w:b/>
          <w:sz w:val="24"/>
          <w:szCs w:val="24"/>
        </w:rPr>
        <w:t> </w:t>
      </w:r>
      <w:r w:rsidRPr="0061020E">
        <w:rPr>
          <w:rFonts w:ascii="Rockwell" w:eastAsia="Calibri" w:hAnsi="Rockwell"/>
          <w:sz w:val="24"/>
          <w:szCs w:val="24"/>
        </w:rPr>
        <w:t xml:space="preserve">: procédure par laquelle un organisme faisant autorité reconnaît formellement qu'un </w:t>
      </w:r>
      <w:r w:rsidR="00C000AB" w:rsidRPr="0061020E">
        <w:rPr>
          <w:rFonts w:ascii="Rockwell" w:eastAsia="Calibri" w:hAnsi="Rockwell"/>
          <w:sz w:val="24"/>
          <w:szCs w:val="24"/>
        </w:rPr>
        <w:t xml:space="preserve">autre </w:t>
      </w:r>
      <w:r w:rsidRPr="0061020E">
        <w:rPr>
          <w:rFonts w:ascii="Rockwell" w:eastAsia="Calibri" w:hAnsi="Rockwell"/>
          <w:sz w:val="24"/>
          <w:szCs w:val="24"/>
        </w:rPr>
        <w:t>organisme ou une personne est compétente pour effectuer des tâches spécifiques [2];</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Assurance de la </w:t>
      </w:r>
      <w:r w:rsidR="009D0107" w:rsidRPr="0061020E">
        <w:rPr>
          <w:rFonts w:ascii="Rockwell" w:eastAsia="Calibri" w:hAnsi="Rockwell"/>
          <w:b/>
          <w:sz w:val="24"/>
          <w:szCs w:val="24"/>
        </w:rPr>
        <w:t>q</w:t>
      </w:r>
      <w:r w:rsidRPr="0061020E">
        <w:rPr>
          <w:rFonts w:ascii="Rockwell" w:eastAsia="Calibri" w:hAnsi="Rockwell"/>
          <w:b/>
          <w:sz w:val="24"/>
          <w:szCs w:val="24"/>
        </w:rPr>
        <w:t xml:space="preserve">ualité : </w:t>
      </w:r>
      <w:r w:rsidRPr="0061020E">
        <w:rPr>
          <w:rFonts w:ascii="Rockwell" w:eastAsia="Calibri" w:hAnsi="Rockwell"/>
          <w:sz w:val="24"/>
          <w:szCs w:val="24"/>
        </w:rPr>
        <w:t xml:space="preserve">partie du management de la qualité visant à </w:t>
      </w:r>
      <w:r w:rsidRPr="0061020E">
        <w:rPr>
          <w:rFonts w:ascii="Rockwell" w:eastAsia="Calibri" w:hAnsi="Rockwell" w:cs="Arial"/>
          <w:sz w:val="24"/>
          <w:szCs w:val="24"/>
        </w:rPr>
        <w:t xml:space="preserve">donner </w:t>
      </w:r>
      <w:r w:rsidR="009C1094">
        <w:rPr>
          <w:rFonts w:ascii="Rockwell" w:eastAsia="Calibri" w:hAnsi="Rockwell" w:cs="Arial"/>
          <w:sz w:val="24"/>
          <w:szCs w:val="24"/>
        </w:rPr>
        <w:t>la confiance</w:t>
      </w:r>
      <w:r w:rsidRPr="0061020E">
        <w:rPr>
          <w:rFonts w:ascii="Rockwell" w:eastAsia="Calibri" w:hAnsi="Rockwell"/>
          <w:sz w:val="24"/>
          <w:szCs w:val="24"/>
        </w:rPr>
        <w:t xml:space="preserve"> que les exigences </w:t>
      </w:r>
      <w:r w:rsidRPr="0061020E">
        <w:rPr>
          <w:rFonts w:ascii="Rockwell" w:eastAsia="Calibri" w:hAnsi="Rockwell" w:cs="Arial"/>
          <w:sz w:val="24"/>
          <w:szCs w:val="24"/>
        </w:rPr>
        <w:t>pour la</w:t>
      </w:r>
      <w:r w:rsidRPr="0061020E">
        <w:rPr>
          <w:rFonts w:ascii="Rockwell" w:eastAsia="Calibri" w:hAnsi="Rockwell"/>
          <w:sz w:val="24"/>
          <w:szCs w:val="24"/>
        </w:rPr>
        <w:t xml:space="preserve"> qualité seront satisfaites; </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Certification :</w:t>
      </w:r>
      <w:r w:rsidRPr="0061020E">
        <w:rPr>
          <w:rFonts w:ascii="Rockwell" w:eastAsia="Calibri" w:hAnsi="Rockwell"/>
          <w:sz w:val="24"/>
          <w:szCs w:val="24"/>
        </w:rPr>
        <w:t xml:space="preserve"> procédure par laquelle une tierce partie donne une attestation écrite qu'un produit, procédé ou service est conforme aux exigences spécifiées [2];</w:t>
      </w:r>
    </w:p>
    <w:p w:rsidR="001A0B6A" w:rsidRPr="0061020E" w:rsidRDefault="001A0B6A" w:rsidP="008F6018">
      <w:pPr>
        <w:spacing w:after="120" w:line="240" w:lineRule="auto"/>
        <w:jc w:val="both"/>
        <w:rPr>
          <w:rFonts w:ascii="Rockwell" w:eastAsia="Calibri" w:hAnsi="Rockwell" w:cs="Arial"/>
          <w:color w:val="000000"/>
          <w:sz w:val="24"/>
          <w:szCs w:val="24"/>
        </w:rPr>
      </w:pPr>
      <w:r w:rsidRPr="0061020E">
        <w:rPr>
          <w:rFonts w:ascii="Rockwell" w:eastAsia="Calibri" w:hAnsi="Rockwell" w:cs="Arial"/>
          <w:b/>
          <w:color w:val="000000"/>
          <w:sz w:val="24"/>
          <w:szCs w:val="24"/>
        </w:rPr>
        <w:t>Concertation avec les parties prenantes</w:t>
      </w:r>
      <w:r w:rsidRPr="0061020E">
        <w:rPr>
          <w:rFonts w:ascii="Rockwell" w:eastAsia="Calibri" w:hAnsi="Rockwell" w:cs="Arial"/>
          <w:color w:val="000000"/>
          <w:sz w:val="24"/>
          <w:szCs w:val="24"/>
        </w:rPr>
        <w:t> : relation réciproque de coopération volontaire entre une organi</w:t>
      </w:r>
      <w:r w:rsidR="009D0107">
        <w:rPr>
          <w:rFonts w:ascii="Rockwell" w:eastAsia="Calibri" w:hAnsi="Rockwell" w:cs="Arial"/>
          <w:color w:val="000000"/>
          <w:sz w:val="24"/>
          <w:szCs w:val="24"/>
        </w:rPr>
        <w:t xml:space="preserve">sation et ses parties prenantes, </w:t>
      </w:r>
      <w:r w:rsidRPr="0061020E">
        <w:rPr>
          <w:rFonts w:ascii="Rockwell" w:eastAsia="Calibri" w:hAnsi="Rockwell" w:cs="Arial"/>
          <w:color w:val="000000"/>
          <w:sz w:val="24"/>
          <w:szCs w:val="24"/>
        </w:rPr>
        <w:t>dans l’objectif de parvenir à des résultats acceptables mutuellement [3]</w:t>
      </w:r>
      <w:r w:rsidR="009C1094">
        <w:rPr>
          <w:rFonts w:ascii="Rockwell" w:eastAsia="Calibri" w:hAnsi="Rockwell" w:cs="Arial"/>
          <w:color w:val="000000"/>
          <w:sz w:val="24"/>
          <w:szCs w:val="24"/>
        </w:rPr>
        <w:t> ;</w:t>
      </w:r>
    </w:p>
    <w:p w:rsidR="001A0B6A" w:rsidRPr="0061020E" w:rsidRDefault="001A0B6A" w:rsidP="008F6018">
      <w:pPr>
        <w:spacing w:after="120" w:line="240" w:lineRule="auto"/>
        <w:jc w:val="both"/>
        <w:rPr>
          <w:rFonts w:ascii="Rockwell" w:eastAsia="Calibri" w:hAnsi="Rockwell" w:cs="Arial"/>
          <w:sz w:val="24"/>
          <w:szCs w:val="24"/>
        </w:rPr>
      </w:pPr>
      <w:r w:rsidRPr="0061020E">
        <w:rPr>
          <w:rFonts w:ascii="Rockwell" w:eastAsia="Calibri" w:hAnsi="Rockwell" w:cs="Arial"/>
          <w:b/>
          <w:sz w:val="24"/>
          <w:szCs w:val="24"/>
        </w:rPr>
        <w:t xml:space="preserve">Conformité : </w:t>
      </w:r>
      <w:r w:rsidR="00C83184" w:rsidRPr="0061020E">
        <w:rPr>
          <w:rFonts w:ascii="Rockwell" w:eastAsia="Calibri" w:hAnsi="Rockwell" w:cs="Arial"/>
          <w:sz w:val="24"/>
          <w:szCs w:val="24"/>
        </w:rPr>
        <w:t>s</w:t>
      </w:r>
      <w:r w:rsidRPr="0061020E">
        <w:rPr>
          <w:rFonts w:ascii="Rockwell" w:eastAsia="Calibri" w:hAnsi="Rockwell" w:cs="Arial"/>
          <w:sz w:val="24"/>
          <w:szCs w:val="24"/>
        </w:rPr>
        <w:t xml:space="preserve">atisfaction d'une exigence </w:t>
      </w:r>
      <w:r w:rsidRPr="0061020E">
        <w:rPr>
          <w:rFonts w:ascii="Rockwell" w:eastAsia="Calibri" w:hAnsi="Rockwell"/>
          <w:sz w:val="24"/>
          <w:szCs w:val="24"/>
        </w:rPr>
        <w:t>[2];</w:t>
      </w:r>
    </w:p>
    <w:p w:rsidR="002E6B83" w:rsidRPr="0061020E" w:rsidRDefault="001A0B6A" w:rsidP="008F6018">
      <w:pPr>
        <w:spacing w:after="120" w:line="240" w:lineRule="auto"/>
        <w:jc w:val="both"/>
        <w:rPr>
          <w:rFonts w:ascii="Rockwell" w:eastAsia="Calibri" w:hAnsi="Rockwell" w:cs="Arial"/>
          <w:i/>
          <w:iCs/>
          <w:sz w:val="24"/>
          <w:szCs w:val="24"/>
        </w:rPr>
      </w:pPr>
      <w:r w:rsidRPr="0061020E">
        <w:rPr>
          <w:rFonts w:ascii="Rockwell" w:eastAsia="Calibri" w:hAnsi="Rockwell" w:cs="Arial"/>
          <w:b/>
          <w:sz w:val="24"/>
          <w:szCs w:val="24"/>
        </w:rPr>
        <w:lastRenderedPageBreak/>
        <w:t>Consensus</w:t>
      </w:r>
      <w:r w:rsidRPr="0061020E">
        <w:rPr>
          <w:rFonts w:ascii="Rockwell" w:eastAsia="Calibri" w:hAnsi="Rockwell" w:cs="Arial"/>
          <w:sz w:val="24"/>
          <w:szCs w:val="24"/>
        </w:rPr>
        <w:t xml:space="preserve">: "accord général caractérisé par l'absence d'opposition ferme à l'encontre de l'essentiel du sujet émanant d'une partie importante des intérêts en jeu et par un processus de recherche de prise en considération des vues de toutes les parties concernées et de rapprochement des positions </w:t>
      </w:r>
      <w:r w:rsidR="00C83184" w:rsidRPr="0061020E">
        <w:rPr>
          <w:rFonts w:ascii="Rockwell" w:eastAsia="Calibri" w:hAnsi="Rockwell" w:cs="Arial"/>
          <w:sz w:val="24"/>
          <w:szCs w:val="24"/>
        </w:rPr>
        <w:t>d</w:t>
      </w:r>
      <w:r w:rsidR="00C83184">
        <w:rPr>
          <w:rFonts w:ascii="Rockwell" w:eastAsia="Calibri" w:hAnsi="Rockwell" w:cs="Arial"/>
          <w:sz w:val="24"/>
          <w:szCs w:val="24"/>
        </w:rPr>
        <w:t>i</w:t>
      </w:r>
      <w:r w:rsidR="00C83184" w:rsidRPr="0061020E">
        <w:rPr>
          <w:rFonts w:ascii="Rockwell" w:eastAsia="Calibri" w:hAnsi="Rockwell" w:cs="Arial"/>
          <w:sz w:val="24"/>
          <w:szCs w:val="24"/>
        </w:rPr>
        <w:t>verge</w:t>
      </w:r>
      <w:r w:rsidR="00C83184">
        <w:rPr>
          <w:rFonts w:ascii="Rockwell" w:eastAsia="Calibri" w:hAnsi="Rockwell" w:cs="Arial"/>
          <w:sz w:val="24"/>
          <w:szCs w:val="24"/>
        </w:rPr>
        <w:t>nte</w:t>
      </w:r>
      <w:r w:rsidR="00C83184" w:rsidRPr="0061020E">
        <w:rPr>
          <w:rFonts w:ascii="Rockwell" w:eastAsia="Calibri" w:hAnsi="Rockwell" w:cs="Arial"/>
          <w:sz w:val="24"/>
          <w:szCs w:val="24"/>
        </w:rPr>
        <w:t>s</w:t>
      </w:r>
      <w:r w:rsidRPr="0061020E">
        <w:rPr>
          <w:rFonts w:ascii="Rockwell" w:eastAsia="Calibri" w:hAnsi="Rockwell" w:cs="Arial"/>
          <w:sz w:val="24"/>
          <w:szCs w:val="24"/>
        </w:rPr>
        <w:t xml:space="preserve"> éventuelles." </w:t>
      </w:r>
    </w:p>
    <w:p w:rsidR="001A0B6A" w:rsidRPr="0061020E" w:rsidRDefault="001A0B6A" w:rsidP="008F6018">
      <w:pPr>
        <w:spacing w:after="120" w:line="240" w:lineRule="auto"/>
        <w:jc w:val="both"/>
        <w:rPr>
          <w:rFonts w:ascii="Rockwell" w:eastAsia="Calibri" w:hAnsi="Rockwell" w:cs="Arial"/>
          <w:sz w:val="24"/>
          <w:szCs w:val="24"/>
        </w:rPr>
      </w:pPr>
      <w:r w:rsidRPr="0061020E">
        <w:rPr>
          <w:rFonts w:ascii="Rockwell" w:eastAsia="Calibri" w:hAnsi="Rockwell" w:cs="Arial"/>
          <w:i/>
          <w:iCs/>
          <w:sz w:val="24"/>
          <w:szCs w:val="24"/>
        </w:rPr>
        <w:t xml:space="preserve">Note : "Le consensus n'implique pas nécessairement l'unanimité." </w:t>
      </w:r>
      <w:r w:rsidRPr="0061020E">
        <w:rPr>
          <w:rFonts w:ascii="Rockwell" w:eastAsia="Calibri" w:hAnsi="Rockwell" w:cs="Arial"/>
          <w:sz w:val="24"/>
          <w:szCs w:val="24"/>
        </w:rPr>
        <w:t>[3]</w:t>
      </w:r>
    </w:p>
    <w:p w:rsidR="001A0B6A" w:rsidRPr="0061020E" w:rsidRDefault="001A0B6A" w:rsidP="008F6018">
      <w:pPr>
        <w:spacing w:after="120" w:line="240" w:lineRule="auto"/>
        <w:jc w:val="both"/>
        <w:rPr>
          <w:rFonts w:ascii="Rockwell" w:eastAsia="Calibri" w:hAnsi="Rockwell" w:cs="Arial"/>
          <w:sz w:val="24"/>
          <w:szCs w:val="24"/>
        </w:rPr>
      </w:pPr>
      <w:r w:rsidRPr="0061020E">
        <w:rPr>
          <w:rFonts w:ascii="Rockwell" w:eastAsia="Calibri" w:hAnsi="Rockwell" w:cs="Arial"/>
          <w:b/>
          <w:sz w:val="24"/>
          <w:szCs w:val="24"/>
        </w:rPr>
        <w:t>Contrôle :</w:t>
      </w:r>
      <w:r w:rsidRPr="0061020E">
        <w:rPr>
          <w:rFonts w:ascii="Rockwell" w:eastAsia="Calibri" w:hAnsi="Rockwell" w:cs="Arial"/>
          <w:sz w:val="24"/>
          <w:szCs w:val="24"/>
        </w:rPr>
        <w:t xml:space="preserve"> </w:t>
      </w:r>
      <w:r w:rsidR="00C83184" w:rsidRPr="0061020E">
        <w:rPr>
          <w:rFonts w:ascii="Rockwell" w:eastAsia="Calibri" w:hAnsi="Rockwell" w:cs="Arial"/>
          <w:sz w:val="24"/>
          <w:szCs w:val="24"/>
        </w:rPr>
        <w:t>é</w:t>
      </w:r>
      <w:r w:rsidRPr="0061020E">
        <w:rPr>
          <w:rFonts w:ascii="Rockwell" w:eastAsia="Calibri" w:hAnsi="Rockwell" w:cs="Arial"/>
          <w:sz w:val="24"/>
          <w:szCs w:val="24"/>
        </w:rPr>
        <w:t>valuation de la conformité par observation et jugement accompagné, si nécessaire, de mesurages, d'essais ou de calibrage</w:t>
      </w:r>
      <w:r w:rsidR="00C83184">
        <w:rPr>
          <w:rFonts w:ascii="Rockwell" w:eastAsia="Calibri" w:hAnsi="Rockwell" w:cs="Arial"/>
          <w:sz w:val="24"/>
          <w:szCs w:val="24"/>
        </w:rPr>
        <w:t>s</w:t>
      </w:r>
      <w:r w:rsidRPr="0061020E">
        <w:rPr>
          <w:rFonts w:ascii="Rockwell" w:eastAsia="Calibri" w:hAnsi="Rockwell" w:cs="Arial"/>
          <w:sz w:val="24"/>
          <w:szCs w:val="24"/>
        </w:rPr>
        <w:t xml:space="preserve"> </w:t>
      </w:r>
      <w:r w:rsidRPr="0061020E">
        <w:rPr>
          <w:rFonts w:ascii="Rockwell" w:eastAsia="Calibri" w:hAnsi="Rockwell"/>
          <w:sz w:val="24"/>
          <w:szCs w:val="24"/>
        </w:rPr>
        <w:t>[2];</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Essai : </w:t>
      </w:r>
      <w:r w:rsidRPr="0061020E">
        <w:rPr>
          <w:rFonts w:ascii="Rockwell" w:eastAsia="Calibri" w:hAnsi="Rockwell"/>
          <w:sz w:val="24"/>
          <w:szCs w:val="24"/>
        </w:rPr>
        <w:t xml:space="preserve">détermination </w:t>
      </w:r>
      <w:r w:rsidRPr="0061020E">
        <w:rPr>
          <w:rFonts w:ascii="Rockwell" w:eastAsia="Calibri" w:hAnsi="Rockwell" w:cs="Arial"/>
          <w:sz w:val="24"/>
          <w:szCs w:val="24"/>
        </w:rPr>
        <w:t>d'une</w:t>
      </w:r>
      <w:r w:rsidRPr="0061020E">
        <w:rPr>
          <w:rFonts w:ascii="Rockwell" w:eastAsia="Calibri" w:hAnsi="Rockwell"/>
          <w:sz w:val="24"/>
          <w:szCs w:val="24"/>
        </w:rPr>
        <w:t xml:space="preserve"> ou de plusieurs caractéristique</w:t>
      </w:r>
      <w:r w:rsidR="009C1094">
        <w:rPr>
          <w:rFonts w:ascii="Rockwell" w:eastAsia="Calibri" w:hAnsi="Rockwell"/>
          <w:sz w:val="24"/>
          <w:szCs w:val="24"/>
        </w:rPr>
        <w:t>(</w:t>
      </w:r>
      <w:r w:rsidR="00AB7B50">
        <w:rPr>
          <w:rFonts w:ascii="Rockwell" w:eastAsia="Calibri" w:hAnsi="Rockwell"/>
          <w:sz w:val="24"/>
          <w:szCs w:val="24"/>
        </w:rPr>
        <w:t>s</w:t>
      </w:r>
      <w:r w:rsidR="009C1094">
        <w:rPr>
          <w:rFonts w:ascii="Rockwell" w:eastAsia="Calibri" w:hAnsi="Rockwell"/>
          <w:sz w:val="24"/>
          <w:szCs w:val="24"/>
        </w:rPr>
        <w:t>)</w:t>
      </w:r>
      <w:r w:rsidRPr="0061020E">
        <w:rPr>
          <w:rFonts w:ascii="Rockwell" w:eastAsia="Calibri" w:hAnsi="Rockwell"/>
          <w:sz w:val="24"/>
          <w:szCs w:val="24"/>
        </w:rPr>
        <w:t xml:space="preserve"> d'un objet de l'évaluation de la conformité selo</w:t>
      </w:r>
      <w:r w:rsidR="009610F2" w:rsidRPr="0061020E">
        <w:rPr>
          <w:rFonts w:ascii="Rockwell" w:eastAsia="Calibri" w:hAnsi="Rockwell"/>
          <w:sz w:val="24"/>
          <w:szCs w:val="24"/>
        </w:rPr>
        <w:t>n une procédure spécifique [2];</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cs="Arial"/>
          <w:b/>
          <w:sz w:val="24"/>
          <w:szCs w:val="24"/>
        </w:rPr>
        <w:t>Evaluation</w:t>
      </w:r>
      <w:r w:rsidRPr="0061020E">
        <w:rPr>
          <w:rFonts w:ascii="Rockwell" w:eastAsia="Calibri" w:hAnsi="Rockwell"/>
          <w:b/>
          <w:sz w:val="24"/>
          <w:szCs w:val="24"/>
        </w:rPr>
        <w:t xml:space="preserve"> de la </w:t>
      </w:r>
      <w:r w:rsidRPr="0061020E">
        <w:rPr>
          <w:rFonts w:ascii="Rockwell" w:eastAsia="Calibri" w:hAnsi="Rockwell" w:cs="Arial"/>
          <w:b/>
          <w:sz w:val="24"/>
          <w:szCs w:val="24"/>
        </w:rPr>
        <w:t xml:space="preserve">conformité : </w:t>
      </w:r>
      <w:r w:rsidRPr="0061020E">
        <w:rPr>
          <w:rFonts w:ascii="Rockwell" w:eastAsia="Calibri" w:hAnsi="Rockwell"/>
          <w:sz w:val="24"/>
          <w:szCs w:val="24"/>
        </w:rPr>
        <w:t>démonstration que des exigences spécifiées relatives à un produit, procédé, système, personne ou organisme sont respectées [2];</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cs="Arial"/>
          <w:b/>
          <w:sz w:val="24"/>
          <w:szCs w:val="24"/>
        </w:rPr>
        <w:t>Etalon national</w:t>
      </w:r>
      <w:r w:rsidRPr="0061020E">
        <w:rPr>
          <w:rFonts w:ascii="Rockwell" w:eastAsia="Calibri" w:hAnsi="Rockwell"/>
          <w:b/>
          <w:sz w:val="24"/>
          <w:szCs w:val="24"/>
        </w:rPr>
        <w:t xml:space="preserve"> de </w:t>
      </w:r>
      <w:r w:rsidRPr="0061020E">
        <w:rPr>
          <w:rFonts w:ascii="Rockwell" w:eastAsia="Calibri" w:hAnsi="Rockwell" w:cs="Arial"/>
          <w:b/>
          <w:sz w:val="24"/>
          <w:szCs w:val="24"/>
        </w:rPr>
        <w:t xml:space="preserve">mesure : </w:t>
      </w:r>
      <w:r w:rsidRPr="0061020E">
        <w:rPr>
          <w:rFonts w:ascii="Rockwell" w:eastAsia="Calibri" w:hAnsi="Rockwell" w:cs="Arial"/>
          <w:sz w:val="24"/>
          <w:szCs w:val="24"/>
        </w:rPr>
        <w:t>étalon reconnu</w:t>
      </w:r>
      <w:r w:rsidRPr="0061020E">
        <w:rPr>
          <w:rFonts w:ascii="Rockwell" w:eastAsia="Calibri" w:hAnsi="Rockwell"/>
          <w:sz w:val="24"/>
          <w:szCs w:val="24"/>
        </w:rPr>
        <w:t xml:space="preserve"> par une décision nationale pour servir, dans un pays, comme la base d’attribution </w:t>
      </w:r>
      <w:r w:rsidRPr="0061020E">
        <w:rPr>
          <w:rFonts w:ascii="Rockwell" w:eastAsia="Calibri" w:hAnsi="Rockwell" w:cs="Arial"/>
          <w:sz w:val="24"/>
          <w:szCs w:val="24"/>
        </w:rPr>
        <w:t>de</w:t>
      </w:r>
      <w:r w:rsidRPr="0061020E">
        <w:rPr>
          <w:rFonts w:ascii="Rockwell" w:eastAsia="Calibri" w:hAnsi="Rockwell"/>
          <w:sz w:val="24"/>
          <w:szCs w:val="24"/>
        </w:rPr>
        <w:t xml:space="preserve"> valeurs à d'autres </w:t>
      </w:r>
      <w:r w:rsidRPr="0061020E">
        <w:rPr>
          <w:rFonts w:ascii="Rockwell" w:eastAsia="Calibri" w:hAnsi="Rockwell" w:cs="Arial"/>
          <w:sz w:val="24"/>
          <w:szCs w:val="24"/>
        </w:rPr>
        <w:t>étalons</w:t>
      </w:r>
      <w:r w:rsidRPr="0061020E">
        <w:rPr>
          <w:rFonts w:ascii="Rockwell" w:eastAsia="Calibri" w:hAnsi="Rockwell"/>
          <w:sz w:val="24"/>
          <w:szCs w:val="24"/>
        </w:rPr>
        <w:t xml:space="preserve"> de la grandeur concernée</w:t>
      </w:r>
      <w:r w:rsidR="00800118">
        <w:rPr>
          <w:rFonts w:ascii="Rockwell" w:eastAsia="Calibri" w:hAnsi="Rockwell"/>
          <w:sz w:val="24"/>
          <w:szCs w:val="24"/>
        </w:rPr>
        <w:t> ;</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b/>
          <w:sz w:val="24"/>
          <w:szCs w:val="24"/>
        </w:rPr>
      </w:pPr>
      <w:r w:rsidRPr="0061020E">
        <w:rPr>
          <w:rFonts w:ascii="Rockwell" w:eastAsia="Calibri" w:hAnsi="Rockwell" w:cs="Arial"/>
          <w:b/>
          <w:sz w:val="24"/>
          <w:szCs w:val="24"/>
        </w:rPr>
        <w:t xml:space="preserve">Etalonnage : </w:t>
      </w:r>
      <w:r w:rsidRPr="0061020E">
        <w:rPr>
          <w:rFonts w:ascii="Rockwell" w:eastAsia="Calibri" w:hAnsi="Rockwell"/>
          <w:sz w:val="24"/>
          <w:szCs w:val="24"/>
        </w:rPr>
        <w:t>ensemble d'opérations qui établissent, dans des conditions spécifiées, la relation entre les valeurs de la grandeur indiquée par un instrument de mesure ou système de mesure, ou les valeurs représentées par une mesure matérialisée ou un matériel de référence et les valeurs correspondantes réalisées par les normes</w:t>
      </w:r>
      <w:r w:rsidR="00800118">
        <w:rPr>
          <w:rFonts w:ascii="Rockwell" w:eastAsia="Calibri" w:hAnsi="Rockwell"/>
          <w:sz w:val="24"/>
          <w:szCs w:val="24"/>
        </w:rPr>
        <w:t> ;</w:t>
      </w:r>
    </w:p>
    <w:p w:rsidR="00800118" w:rsidRPr="0061020E" w:rsidRDefault="00800118" w:rsidP="008F6018">
      <w:pPr>
        <w:tabs>
          <w:tab w:val="left" w:pos="426"/>
        </w:tabs>
        <w:autoSpaceDE w:val="0"/>
        <w:autoSpaceDN w:val="0"/>
        <w:adjustRightInd w:val="0"/>
        <w:spacing w:after="120" w:line="240" w:lineRule="auto"/>
        <w:jc w:val="both"/>
        <w:rPr>
          <w:rFonts w:ascii="Rockwell" w:eastAsia="Calibri" w:hAnsi="Rockwell"/>
          <w:b/>
          <w:sz w:val="24"/>
          <w:szCs w:val="24"/>
        </w:rPr>
      </w:pPr>
      <w:r w:rsidRPr="00800118">
        <w:rPr>
          <w:rFonts w:ascii="Rockwell" w:eastAsia="Calibri" w:hAnsi="Rockwell"/>
          <w:b/>
          <w:sz w:val="24"/>
          <w:szCs w:val="24"/>
        </w:rPr>
        <w:t>Exigence </w:t>
      </w:r>
      <w:r>
        <w:rPr>
          <w:rFonts w:ascii="Rockwell" w:eastAsia="Calibri" w:hAnsi="Rockwell"/>
          <w:sz w:val="24"/>
          <w:szCs w:val="24"/>
        </w:rPr>
        <w:t xml:space="preserve">: </w:t>
      </w:r>
      <w:r w:rsidRPr="00EB7B9A">
        <w:rPr>
          <w:rFonts w:ascii="Rockwell" w:eastAsia="Calibri" w:hAnsi="Rockwell"/>
          <w:sz w:val="24"/>
          <w:szCs w:val="24"/>
        </w:rPr>
        <w:t>besoin ou attente formulé</w:t>
      </w:r>
      <w:r w:rsidR="00C83184">
        <w:rPr>
          <w:rFonts w:ascii="Rockwell" w:eastAsia="Calibri" w:hAnsi="Rockwell"/>
          <w:sz w:val="24"/>
          <w:szCs w:val="24"/>
        </w:rPr>
        <w:t>e</w:t>
      </w:r>
      <w:r w:rsidRPr="00EB7B9A">
        <w:rPr>
          <w:rFonts w:ascii="Rockwell" w:eastAsia="Calibri" w:hAnsi="Rockwell"/>
          <w:sz w:val="24"/>
          <w:szCs w:val="24"/>
        </w:rPr>
        <w:t>, généralement implicite ou obligatoire</w:t>
      </w:r>
      <w:r>
        <w:rPr>
          <w:rFonts w:ascii="Rockwell" w:eastAsia="Calibri" w:hAnsi="Rockwell"/>
          <w:sz w:val="24"/>
          <w:szCs w:val="24"/>
        </w:rPr>
        <w:t> ;</w:t>
      </w:r>
    </w:p>
    <w:p w:rsidR="001A0B6A" w:rsidRPr="0061020E" w:rsidRDefault="001A0B6A"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Inspection </w:t>
      </w:r>
      <w:r w:rsidRPr="0061020E">
        <w:rPr>
          <w:rFonts w:ascii="Rockwell" w:eastAsia="Calibri" w:hAnsi="Rockwell"/>
          <w:sz w:val="24"/>
          <w:szCs w:val="24"/>
        </w:rPr>
        <w:t xml:space="preserve">: examen de la conception d’un produit, </w:t>
      </w:r>
      <w:r w:rsidRPr="0061020E">
        <w:rPr>
          <w:rFonts w:ascii="Rockwell" w:eastAsia="Calibri" w:hAnsi="Rockwell" w:cs="Arial"/>
          <w:sz w:val="24"/>
          <w:szCs w:val="24"/>
        </w:rPr>
        <w:t>d’un</w:t>
      </w:r>
      <w:r w:rsidRPr="0061020E">
        <w:rPr>
          <w:rFonts w:ascii="Rockwell" w:eastAsia="Calibri" w:hAnsi="Rockwell"/>
          <w:sz w:val="24"/>
          <w:szCs w:val="24"/>
        </w:rPr>
        <w:t xml:space="preserve"> procédé ou d’une installation et la détermination de sa conformité avec les exigences spécifiques ou</w:t>
      </w:r>
      <w:r w:rsidRPr="0061020E">
        <w:rPr>
          <w:rFonts w:ascii="Rockwell" w:eastAsia="Calibri" w:hAnsi="Rockwell" w:cs="Arial"/>
          <w:sz w:val="24"/>
          <w:szCs w:val="24"/>
        </w:rPr>
        <w:t>,</w:t>
      </w:r>
      <w:r w:rsidRPr="0061020E">
        <w:rPr>
          <w:rFonts w:ascii="Rockwell" w:eastAsia="Calibri" w:hAnsi="Rockwell"/>
          <w:sz w:val="24"/>
          <w:szCs w:val="24"/>
        </w:rPr>
        <w:t xml:space="preserve"> sur la base d’un jugement professionnel</w:t>
      </w:r>
      <w:r w:rsidRPr="0061020E">
        <w:rPr>
          <w:rFonts w:ascii="Rockwell" w:eastAsia="Calibri" w:hAnsi="Rockwell" w:cs="Arial"/>
          <w:sz w:val="24"/>
          <w:szCs w:val="24"/>
        </w:rPr>
        <w:t>, avec les</w:t>
      </w:r>
      <w:r w:rsidRPr="0061020E">
        <w:rPr>
          <w:rFonts w:ascii="Rockwell" w:eastAsia="Calibri" w:hAnsi="Rockwell"/>
          <w:sz w:val="24"/>
          <w:szCs w:val="24"/>
        </w:rPr>
        <w:t xml:space="preserve"> exigences </w:t>
      </w:r>
      <w:r w:rsidRPr="0061020E">
        <w:rPr>
          <w:rFonts w:ascii="Rockwell" w:eastAsia="Calibri" w:hAnsi="Rockwell" w:cs="Arial"/>
          <w:sz w:val="24"/>
          <w:szCs w:val="24"/>
        </w:rPr>
        <w:t xml:space="preserve">générales </w:t>
      </w:r>
      <w:r w:rsidRPr="0061020E">
        <w:rPr>
          <w:rFonts w:ascii="Rockwell" w:eastAsia="Calibri" w:hAnsi="Rockwell"/>
          <w:sz w:val="24"/>
          <w:szCs w:val="24"/>
        </w:rPr>
        <w:t>[2];</w:t>
      </w:r>
    </w:p>
    <w:p w:rsidR="00DF546B" w:rsidRPr="0061020E" w:rsidRDefault="00DF546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Institut </w:t>
      </w:r>
      <w:r w:rsidR="00C83184" w:rsidRPr="0061020E">
        <w:rPr>
          <w:rFonts w:ascii="Rockwell" w:eastAsia="Calibri" w:hAnsi="Rockwell"/>
          <w:b/>
          <w:sz w:val="24"/>
          <w:szCs w:val="24"/>
        </w:rPr>
        <w:t>national de métrologie </w:t>
      </w:r>
      <w:r w:rsidRPr="0061020E">
        <w:rPr>
          <w:rFonts w:ascii="Rockwell" w:eastAsia="Calibri" w:hAnsi="Rockwell"/>
          <w:b/>
          <w:sz w:val="24"/>
          <w:szCs w:val="24"/>
        </w:rPr>
        <w:t xml:space="preserve">: </w:t>
      </w:r>
      <w:r w:rsidRPr="0061020E">
        <w:rPr>
          <w:rFonts w:ascii="Rockwell" w:eastAsia="Calibri" w:hAnsi="Rockwell"/>
          <w:sz w:val="24"/>
          <w:szCs w:val="24"/>
        </w:rPr>
        <w:t xml:space="preserve">institution désignée par une décision nationale pour développer et maintenir </w:t>
      </w:r>
      <w:r w:rsidRPr="0061020E">
        <w:rPr>
          <w:rFonts w:ascii="Rockwell" w:eastAsia="Calibri" w:hAnsi="Rockwell" w:cs="Arial"/>
          <w:sz w:val="24"/>
          <w:szCs w:val="24"/>
        </w:rPr>
        <w:t>les étalons nationaux</w:t>
      </w:r>
      <w:r w:rsidRPr="0061020E">
        <w:rPr>
          <w:rFonts w:ascii="Rockwell" w:eastAsia="Calibri" w:hAnsi="Rockwell"/>
          <w:sz w:val="24"/>
          <w:szCs w:val="24"/>
        </w:rPr>
        <w:t xml:space="preserve"> de mesure</w:t>
      </w:r>
      <w:r w:rsidR="00C83184">
        <w:rPr>
          <w:rFonts w:ascii="Rockwell" w:eastAsia="Calibri" w:hAnsi="Rockwell"/>
          <w:sz w:val="24"/>
          <w:szCs w:val="24"/>
        </w:rPr>
        <w:t xml:space="preserve"> pour une ou plusieurs grandeur</w:t>
      </w:r>
      <w:r w:rsidR="009C1094">
        <w:rPr>
          <w:rFonts w:ascii="Rockwell" w:eastAsia="Calibri" w:hAnsi="Rockwell"/>
          <w:sz w:val="24"/>
          <w:szCs w:val="24"/>
        </w:rPr>
        <w:t>(s) ;</w:t>
      </w:r>
    </w:p>
    <w:p w:rsidR="00DF546B" w:rsidRPr="0061020E" w:rsidRDefault="00DF546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cs="Arial"/>
          <w:b/>
          <w:sz w:val="24"/>
          <w:szCs w:val="24"/>
        </w:rPr>
        <w:t>Infrastructure</w:t>
      </w:r>
      <w:r w:rsidRPr="0061020E">
        <w:rPr>
          <w:rFonts w:ascii="Rockwell" w:eastAsia="Calibri" w:hAnsi="Rockwell"/>
          <w:b/>
          <w:sz w:val="24"/>
          <w:szCs w:val="24"/>
        </w:rPr>
        <w:t xml:space="preserve"> de la </w:t>
      </w:r>
      <w:r w:rsidRPr="0061020E">
        <w:rPr>
          <w:rFonts w:ascii="Rockwell" w:eastAsia="Calibri" w:hAnsi="Rockwell" w:cs="Arial"/>
          <w:b/>
          <w:sz w:val="24"/>
          <w:szCs w:val="24"/>
        </w:rPr>
        <w:t xml:space="preserve">qualité : </w:t>
      </w:r>
      <w:r w:rsidR="005B139D" w:rsidRPr="0061020E">
        <w:rPr>
          <w:rFonts w:ascii="Rockwell" w:eastAsia="Calibri" w:hAnsi="Rockwell"/>
          <w:sz w:val="24"/>
          <w:szCs w:val="24"/>
        </w:rPr>
        <w:t>e</w:t>
      </w:r>
      <w:r w:rsidRPr="0061020E">
        <w:rPr>
          <w:rFonts w:ascii="Rockwell" w:eastAsia="Calibri" w:hAnsi="Rockwell"/>
          <w:sz w:val="24"/>
          <w:szCs w:val="24"/>
        </w:rPr>
        <w:t xml:space="preserve">nsemble du cadre institutionnel (public ou privé) </w:t>
      </w:r>
      <w:r w:rsidRPr="0061020E">
        <w:rPr>
          <w:rFonts w:ascii="Rockwell" w:eastAsia="Calibri" w:hAnsi="Rockwell" w:cs="Arial"/>
          <w:sz w:val="24"/>
          <w:szCs w:val="24"/>
        </w:rPr>
        <w:t>requis pour</w:t>
      </w:r>
      <w:r w:rsidRPr="0061020E">
        <w:rPr>
          <w:rFonts w:ascii="Rockwell" w:eastAsia="Calibri" w:hAnsi="Rockwell"/>
          <w:sz w:val="24"/>
          <w:szCs w:val="24"/>
        </w:rPr>
        <w:t xml:space="preserve"> établir et mettre en œuvre la normalisation, la  métrologie (scientifique, industrielle et </w:t>
      </w:r>
      <w:r w:rsidRPr="0061020E">
        <w:rPr>
          <w:rFonts w:ascii="Rockwell" w:eastAsia="Calibri" w:hAnsi="Rockwell" w:cs="Arial"/>
          <w:sz w:val="24"/>
          <w:szCs w:val="24"/>
        </w:rPr>
        <w:t>légale</w:t>
      </w:r>
      <w:r w:rsidRPr="0061020E">
        <w:rPr>
          <w:rFonts w:ascii="Rockwell" w:eastAsia="Calibri" w:hAnsi="Rockwell"/>
          <w:sz w:val="24"/>
          <w:szCs w:val="24"/>
        </w:rPr>
        <w:t xml:space="preserve">), l'accréditation et les services d'évaluation de la conformité (inspection, essais et </w:t>
      </w:r>
      <w:r w:rsidRPr="0061020E">
        <w:rPr>
          <w:rFonts w:ascii="Rockwell" w:eastAsia="Calibri" w:hAnsi="Rockwell" w:cs="Arial"/>
          <w:sz w:val="24"/>
          <w:szCs w:val="24"/>
        </w:rPr>
        <w:t xml:space="preserve">étalonnages, et </w:t>
      </w:r>
      <w:r w:rsidRPr="0061020E">
        <w:rPr>
          <w:rFonts w:ascii="Rockwell" w:eastAsia="Calibri" w:hAnsi="Rockwell"/>
          <w:sz w:val="24"/>
          <w:szCs w:val="24"/>
        </w:rPr>
        <w:t xml:space="preserve">certification des produits et des systèmes) nécessaires </w:t>
      </w:r>
      <w:r w:rsidR="00452CE7">
        <w:rPr>
          <w:rFonts w:ascii="Rockwell" w:eastAsia="Calibri" w:hAnsi="Rockwell"/>
          <w:sz w:val="24"/>
          <w:szCs w:val="24"/>
        </w:rPr>
        <w:t>à</w:t>
      </w:r>
      <w:r w:rsidRPr="0061020E">
        <w:rPr>
          <w:rFonts w:ascii="Rockwell" w:eastAsia="Calibri" w:hAnsi="Rockwell"/>
          <w:sz w:val="24"/>
          <w:szCs w:val="24"/>
        </w:rPr>
        <w:t xml:space="preserve"> fournir </w:t>
      </w:r>
      <w:r w:rsidRPr="0061020E">
        <w:rPr>
          <w:rFonts w:ascii="Rockwell" w:eastAsia="Calibri" w:hAnsi="Rockwell" w:cs="Arial"/>
          <w:sz w:val="24"/>
          <w:szCs w:val="24"/>
        </w:rPr>
        <w:t>la preuve acceptable</w:t>
      </w:r>
      <w:r w:rsidRPr="0061020E">
        <w:rPr>
          <w:rFonts w:ascii="Rockwell" w:eastAsia="Calibri" w:hAnsi="Rockwell"/>
          <w:sz w:val="24"/>
          <w:szCs w:val="24"/>
        </w:rPr>
        <w:t xml:space="preserve"> que les produits et services </w:t>
      </w:r>
      <w:r w:rsidRPr="0061020E">
        <w:rPr>
          <w:rFonts w:ascii="Rockwell" w:eastAsia="Calibri" w:hAnsi="Rockwell" w:cs="Arial"/>
          <w:sz w:val="24"/>
          <w:szCs w:val="24"/>
        </w:rPr>
        <w:t>satisfont</w:t>
      </w:r>
      <w:r w:rsidRPr="0061020E">
        <w:rPr>
          <w:rFonts w:ascii="Rockwell" w:eastAsia="Calibri" w:hAnsi="Rockwell"/>
          <w:sz w:val="24"/>
          <w:szCs w:val="24"/>
        </w:rPr>
        <w:t xml:space="preserve"> aux exigences définies, qu’elles soient exigées par les autorités réglementaires (règlement technique) ou par </w:t>
      </w:r>
      <w:r w:rsidRPr="0061020E">
        <w:rPr>
          <w:rFonts w:ascii="Rockwell" w:eastAsia="Calibri" w:hAnsi="Rockwell" w:cs="Arial"/>
          <w:sz w:val="24"/>
          <w:szCs w:val="24"/>
        </w:rPr>
        <w:t>le</w:t>
      </w:r>
      <w:r w:rsidRPr="0061020E">
        <w:rPr>
          <w:rFonts w:ascii="Rockwell" w:eastAsia="Calibri" w:hAnsi="Rockwell"/>
          <w:sz w:val="24"/>
          <w:szCs w:val="24"/>
        </w:rPr>
        <w:t xml:space="preserve"> marché (de manière contractuelle ou tacite</w:t>
      </w:r>
      <w:r w:rsidRPr="0061020E">
        <w:rPr>
          <w:rFonts w:ascii="Rockwell" w:eastAsia="Calibri" w:hAnsi="Rockwell" w:cs="Arial"/>
          <w:sz w:val="24"/>
          <w:szCs w:val="24"/>
        </w:rPr>
        <w:t>) ;</w:t>
      </w:r>
    </w:p>
    <w:p w:rsidR="00DF546B" w:rsidRPr="0061020E" w:rsidRDefault="00DF546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Métrologie : </w:t>
      </w:r>
      <w:r w:rsidRPr="0061020E">
        <w:rPr>
          <w:rFonts w:ascii="Rockwell" w:eastAsia="Calibri" w:hAnsi="Rockwell"/>
          <w:sz w:val="24"/>
          <w:szCs w:val="24"/>
        </w:rPr>
        <w:t xml:space="preserve">science </w:t>
      </w:r>
      <w:r w:rsidRPr="0061020E">
        <w:rPr>
          <w:rFonts w:ascii="Rockwell" w:eastAsia="Arial Unicode MS" w:hAnsi="Rockwell" w:cs="Arial"/>
          <w:sz w:val="24"/>
          <w:szCs w:val="24"/>
        </w:rPr>
        <w:t>des mesurages ;</w:t>
      </w:r>
    </w:p>
    <w:p w:rsidR="00DF546B" w:rsidRPr="0061020E" w:rsidRDefault="00DF546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Métrologie </w:t>
      </w:r>
      <w:r w:rsidRPr="0061020E">
        <w:rPr>
          <w:rFonts w:ascii="Rockwell" w:eastAsia="Calibri" w:hAnsi="Rockwell" w:cs="Arial"/>
          <w:b/>
          <w:sz w:val="24"/>
          <w:szCs w:val="24"/>
        </w:rPr>
        <w:t>légale :</w:t>
      </w:r>
      <w:r w:rsidRPr="0061020E">
        <w:rPr>
          <w:rFonts w:ascii="Rockwell" w:eastAsia="Calibri" w:hAnsi="Rockwell"/>
          <w:sz w:val="24"/>
          <w:szCs w:val="24"/>
        </w:rPr>
        <w:t xml:space="preserve"> mesure couvrant les exigences techniques obligatoires. Elle s’assure que les mesures ayant trait au commerce, à l'environnement, à la santé </w:t>
      </w:r>
      <w:r w:rsidRPr="0061020E">
        <w:rPr>
          <w:rFonts w:ascii="Rockwell" w:eastAsia="Calibri" w:hAnsi="Rockwell" w:cs="Arial"/>
          <w:sz w:val="24"/>
          <w:szCs w:val="24"/>
        </w:rPr>
        <w:t xml:space="preserve">publique </w:t>
      </w:r>
      <w:r w:rsidRPr="0061020E">
        <w:rPr>
          <w:rFonts w:ascii="Rockwell" w:eastAsia="Calibri" w:hAnsi="Rockwell"/>
          <w:sz w:val="24"/>
          <w:szCs w:val="24"/>
        </w:rPr>
        <w:t xml:space="preserve">et à la sécurité sont correctes; </w:t>
      </w:r>
    </w:p>
    <w:p w:rsidR="00FA02CB" w:rsidRPr="0061020E" w:rsidRDefault="00FA02C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Norme </w:t>
      </w:r>
      <w:r w:rsidRPr="0061020E">
        <w:rPr>
          <w:rFonts w:ascii="Rockwell" w:eastAsia="Calibri" w:hAnsi="Rockwell" w:cs="Arial"/>
          <w:b/>
          <w:sz w:val="24"/>
          <w:szCs w:val="24"/>
        </w:rPr>
        <w:t xml:space="preserve">nationale : </w:t>
      </w:r>
      <w:r w:rsidRPr="0061020E">
        <w:rPr>
          <w:rFonts w:ascii="Rockwell" w:eastAsia="Calibri" w:hAnsi="Rockwell"/>
          <w:sz w:val="24"/>
          <w:szCs w:val="24"/>
        </w:rPr>
        <w:t>norme qui est adoptée par un organisme national de normalisation et mise à la disposition du public [3];</w:t>
      </w:r>
    </w:p>
    <w:p w:rsidR="00FA02CB" w:rsidRPr="0061020E" w:rsidRDefault="00FA02C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Organisme </w:t>
      </w:r>
      <w:r w:rsidR="00452CE7" w:rsidRPr="0061020E">
        <w:rPr>
          <w:rFonts w:ascii="Rockwell" w:eastAsia="Calibri" w:hAnsi="Rockwell"/>
          <w:b/>
          <w:sz w:val="24"/>
          <w:szCs w:val="24"/>
        </w:rPr>
        <w:t>national de normalisation </w:t>
      </w:r>
      <w:r w:rsidRPr="0061020E">
        <w:rPr>
          <w:rFonts w:ascii="Rockwell" w:eastAsia="Calibri" w:hAnsi="Rockwell"/>
          <w:b/>
          <w:sz w:val="24"/>
          <w:szCs w:val="24"/>
        </w:rPr>
        <w:t xml:space="preserve">: </w:t>
      </w:r>
      <w:r w:rsidRPr="0061020E">
        <w:rPr>
          <w:rFonts w:ascii="Rockwell" w:eastAsia="Calibri" w:hAnsi="Rockwell"/>
          <w:sz w:val="24"/>
          <w:szCs w:val="24"/>
        </w:rPr>
        <w:t xml:space="preserve">organisme de normalisation reconnu au niveau national qui est éligible pour être le membre national des organisations internationales et régionales </w:t>
      </w:r>
      <w:r w:rsidRPr="0061020E">
        <w:rPr>
          <w:rFonts w:ascii="Rockwell" w:eastAsia="Calibri" w:hAnsi="Rockwell" w:cs="Arial"/>
          <w:sz w:val="24"/>
          <w:szCs w:val="24"/>
        </w:rPr>
        <w:t>de normalisation</w:t>
      </w:r>
      <w:r w:rsidRPr="0061020E">
        <w:rPr>
          <w:rFonts w:ascii="Rockwell" w:eastAsia="Calibri" w:hAnsi="Rockwell"/>
          <w:sz w:val="24"/>
          <w:szCs w:val="24"/>
        </w:rPr>
        <w:t xml:space="preserve"> correspondantes [3];</w:t>
      </w:r>
    </w:p>
    <w:p w:rsidR="00FA02CB" w:rsidRPr="0061020E" w:rsidRDefault="00FA02C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t xml:space="preserve">Norme : </w:t>
      </w:r>
      <w:r w:rsidRPr="0061020E">
        <w:rPr>
          <w:rFonts w:ascii="Rockwell" w:eastAsia="Calibri" w:hAnsi="Rockwell"/>
          <w:sz w:val="24"/>
          <w:szCs w:val="24"/>
        </w:rPr>
        <w:t xml:space="preserve">document établi par consensus et </w:t>
      </w:r>
      <w:r w:rsidRPr="0061020E">
        <w:rPr>
          <w:rFonts w:ascii="Rockwell" w:eastAsia="Calibri" w:hAnsi="Rockwell" w:cs="Arial"/>
          <w:sz w:val="24"/>
          <w:szCs w:val="24"/>
        </w:rPr>
        <w:t>approuvé</w:t>
      </w:r>
      <w:r w:rsidRPr="0061020E">
        <w:rPr>
          <w:rFonts w:ascii="Rockwell" w:eastAsia="Calibri" w:hAnsi="Rockwell"/>
          <w:sz w:val="24"/>
          <w:szCs w:val="24"/>
        </w:rPr>
        <w:t xml:space="preserve"> par un organisme reconnu qui fournit, </w:t>
      </w:r>
      <w:r w:rsidRPr="0061020E">
        <w:rPr>
          <w:rFonts w:ascii="Rockwell" w:eastAsia="Calibri" w:hAnsi="Rockwell" w:cs="Arial"/>
          <w:sz w:val="24"/>
          <w:szCs w:val="24"/>
        </w:rPr>
        <w:t>pour</w:t>
      </w:r>
      <w:r w:rsidRPr="0061020E">
        <w:rPr>
          <w:rFonts w:ascii="Rockwell" w:eastAsia="Calibri" w:hAnsi="Rockwell"/>
          <w:sz w:val="24"/>
          <w:szCs w:val="24"/>
        </w:rPr>
        <w:t xml:space="preserve"> des </w:t>
      </w:r>
      <w:r w:rsidRPr="0061020E">
        <w:rPr>
          <w:rFonts w:ascii="Rockwell" w:eastAsia="Calibri" w:hAnsi="Rockwell" w:cs="Arial"/>
          <w:sz w:val="24"/>
          <w:szCs w:val="24"/>
        </w:rPr>
        <w:t>usages communs</w:t>
      </w:r>
      <w:r w:rsidRPr="0061020E">
        <w:rPr>
          <w:rFonts w:ascii="Rockwell" w:eastAsia="Calibri" w:hAnsi="Rockwell"/>
          <w:sz w:val="24"/>
          <w:szCs w:val="24"/>
        </w:rPr>
        <w:t xml:space="preserve"> et </w:t>
      </w:r>
      <w:r w:rsidRPr="0061020E">
        <w:rPr>
          <w:rFonts w:ascii="Rockwell" w:eastAsia="Calibri" w:hAnsi="Rockwell" w:cs="Arial"/>
          <w:sz w:val="24"/>
          <w:szCs w:val="24"/>
        </w:rPr>
        <w:t>répétés</w:t>
      </w:r>
      <w:r w:rsidRPr="0061020E">
        <w:rPr>
          <w:rFonts w:ascii="Rockwell" w:eastAsia="Calibri" w:hAnsi="Rockwell"/>
          <w:sz w:val="24"/>
          <w:szCs w:val="24"/>
        </w:rPr>
        <w:t xml:space="preserve">, des règles, des lignes directrices ou des caractéristiques pour des activités ou leurs résultats, visant l’atteinte du degré </w:t>
      </w:r>
      <w:r w:rsidRPr="0061020E">
        <w:rPr>
          <w:rFonts w:ascii="Rockwell" w:eastAsia="Calibri" w:hAnsi="Rockwell" w:cs="Arial"/>
          <w:sz w:val="24"/>
          <w:szCs w:val="24"/>
        </w:rPr>
        <w:t xml:space="preserve">optimal </w:t>
      </w:r>
      <w:r w:rsidRPr="0061020E">
        <w:rPr>
          <w:rFonts w:ascii="Rockwell" w:eastAsia="Calibri" w:hAnsi="Rockwell"/>
          <w:sz w:val="24"/>
          <w:szCs w:val="24"/>
        </w:rPr>
        <w:t>d'ordre</w:t>
      </w:r>
      <w:r w:rsidR="00452CE7">
        <w:rPr>
          <w:rFonts w:ascii="Rockwell" w:eastAsia="Calibri" w:hAnsi="Rockwell"/>
          <w:sz w:val="24"/>
          <w:szCs w:val="24"/>
        </w:rPr>
        <w:t>,</w:t>
      </w:r>
      <w:r w:rsidRPr="0061020E">
        <w:rPr>
          <w:rFonts w:ascii="Rockwell" w:eastAsia="Calibri" w:hAnsi="Rockwell"/>
          <w:sz w:val="24"/>
          <w:szCs w:val="24"/>
        </w:rPr>
        <w:t xml:space="preserve"> dans un contexte donné [3]</w:t>
      </w:r>
    </w:p>
    <w:p w:rsidR="00FA02CB" w:rsidRPr="0061020E" w:rsidRDefault="00FA02C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b/>
          <w:sz w:val="24"/>
          <w:szCs w:val="24"/>
        </w:rPr>
        <w:lastRenderedPageBreak/>
        <w:t xml:space="preserve">Normalisation : </w:t>
      </w:r>
      <w:r w:rsidRPr="0061020E">
        <w:rPr>
          <w:rFonts w:ascii="Rockwell" w:eastAsia="Calibri" w:hAnsi="Rockwell"/>
          <w:sz w:val="24"/>
          <w:szCs w:val="24"/>
        </w:rPr>
        <w:t>'activité d'établissement</w:t>
      </w:r>
      <w:r w:rsidRPr="0061020E">
        <w:rPr>
          <w:rFonts w:ascii="Rockwell" w:eastAsia="Calibri" w:hAnsi="Rockwell" w:cs="Arial"/>
          <w:sz w:val="24"/>
          <w:szCs w:val="24"/>
        </w:rPr>
        <w:t xml:space="preserve">, face à </w:t>
      </w:r>
      <w:r w:rsidRPr="0061020E">
        <w:rPr>
          <w:rFonts w:ascii="Rockwell" w:eastAsia="Calibri" w:hAnsi="Rockwell"/>
          <w:sz w:val="24"/>
          <w:szCs w:val="24"/>
        </w:rPr>
        <w:t xml:space="preserve">des problèmes </w:t>
      </w:r>
      <w:r w:rsidRPr="0061020E">
        <w:rPr>
          <w:rFonts w:ascii="Rockwell" w:eastAsia="Calibri" w:hAnsi="Rockwell" w:cs="Arial"/>
          <w:sz w:val="24"/>
          <w:szCs w:val="24"/>
        </w:rPr>
        <w:t>réels</w:t>
      </w:r>
      <w:r w:rsidRPr="0061020E">
        <w:rPr>
          <w:rFonts w:ascii="Rockwell" w:eastAsia="Calibri" w:hAnsi="Rockwell"/>
          <w:sz w:val="24"/>
          <w:szCs w:val="24"/>
        </w:rPr>
        <w:t xml:space="preserve"> ou potentiels, </w:t>
      </w:r>
      <w:r w:rsidRPr="0061020E">
        <w:rPr>
          <w:rFonts w:ascii="Rockwell" w:eastAsia="Calibri" w:hAnsi="Rockwell" w:cs="Arial"/>
          <w:sz w:val="24"/>
          <w:szCs w:val="24"/>
        </w:rPr>
        <w:t>des dispositions destinées</w:t>
      </w:r>
      <w:r w:rsidRPr="0061020E">
        <w:rPr>
          <w:rFonts w:ascii="Rockwell" w:eastAsia="Calibri" w:hAnsi="Rockwell"/>
          <w:sz w:val="24"/>
          <w:szCs w:val="24"/>
        </w:rPr>
        <w:t xml:space="preserve"> à un usage commun et répété, visant </w:t>
      </w:r>
      <w:r w:rsidRPr="0061020E">
        <w:rPr>
          <w:rFonts w:ascii="Rockwell" w:eastAsia="Calibri" w:hAnsi="Rockwell" w:cs="Arial"/>
          <w:sz w:val="24"/>
          <w:szCs w:val="24"/>
        </w:rPr>
        <w:t>l’obtention du</w:t>
      </w:r>
      <w:r w:rsidRPr="0061020E">
        <w:rPr>
          <w:rFonts w:ascii="Rockwell" w:eastAsia="Calibri" w:hAnsi="Rockwell"/>
          <w:sz w:val="24"/>
          <w:szCs w:val="24"/>
        </w:rPr>
        <w:t xml:space="preserve"> degré optimal d'ordre</w:t>
      </w:r>
      <w:r w:rsidR="00452CE7">
        <w:rPr>
          <w:rFonts w:ascii="Rockwell" w:eastAsia="Calibri" w:hAnsi="Rockwell"/>
          <w:sz w:val="24"/>
          <w:szCs w:val="24"/>
        </w:rPr>
        <w:t>,</w:t>
      </w:r>
      <w:r w:rsidRPr="0061020E">
        <w:rPr>
          <w:rFonts w:ascii="Rockwell" w:eastAsia="Calibri" w:hAnsi="Rockwell"/>
          <w:sz w:val="24"/>
          <w:szCs w:val="24"/>
        </w:rPr>
        <w:t xml:space="preserve"> dans un contexte donné [3].  </w:t>
      </w:r>
    </w:p>
    <w:p w:rsidR="00FA02CB" w:rsidRPr="0061020E" w:rsidRDefault="00FA02CB" w:rsidP="008F6018">
      <w:pPr>
        <w:spacing w:after="120" w:line="240" w:lineRule="auto"/>
        <w:jc w:val="both"/>
        <w:rPr>
          <w:rFonts w:ascii="Rockwell" w:eastAsia="Calibri" w:hAnsi="Rockwell" w:cs="Arial"/>
          <w:sz w:val="24"/>
          <w:szCs w:val="24"/>
        </w:rPr>
      </w:pPr>
      <w:r w:rsidRPr="0061020E">
        <w:rPr>
          <w:rFonts w:ascii="Rockwell" w:eastAsia="Calibri" w:hAnsi="Rockwell" w:cs="Arial"/>
          <w:b/>
          <w:sz w:val="24"/>
          <w:szCs w:val="24"/>
        </w:rPr>
        <w:t>Organismes d’évaluation de la conformité (OEC)</w:t>
      </w:r>
      <w:r w:rsidRPr="0061020E">
        <w:rPr>
          <w:rFonts w:ascii="Rockwell" w:eastAsia="Calibri" w:hAnsi="Rockwell" w:cs="Arial"/>
          <w:sz w:val="24"/>
          <w:szCs w:val="24"/>
        </w:rPr>
        <w:t xml:space="preserve"> : les laboratoires d’essai et d’étalonnage, les organismes de certification et les organismes d’inspection qui sont sujets à accréditation ;</w:t>
      </w:r>
    </w:p>
    <w:p w:rsidR="00FA02CB" w:rsidRPr="0061020E" w:rsidRDefault="00FA02CB" w:rsidP="008F6018">
      <w:pPr>
        <w:spacing w:after="120" w:line="240" w:lineRule="auto"/>
        <w:jc w:val="both"/>
        <w:rPr>
          <w:rFonts w:ascii="Rockwell" w:eastAsia="Calibri" w:hAnsi="Rockwell" w:cs="Arial"/>
          <w:sz w:val="24"/>
          <w:szCs w:val="24"/>
        </w:rPr>
      </w:pPr>
      <w:r w:rsidRPr="0061020E">
        <w:rPr>
          <w:rFonts w:ascii="Rockwell" w:eastAsia="Calibri" w:hAnsi="Rockwell" w:cs="Arial"/>
          <w:b/>
          <w:sz w:val="24"/>
          <w:szCs w:val="24"/>
        </w:rPr>
        <w:t>Partie prenante</w:t>
      </w:r>
      <w:r w:rsidRPr="0061020E">
        <w:rPr>
          <w:rFonts w:ascii="Rockwell" w:eastAsia="Calibri" w:hAnsi="Rockwell" w:cs="Arial"/>
          <w:sz w:val="24"/>
          <w:szCs w:val="24"/>
        </w:rPr>
        <w:t xml:space="preserve">: </w:t>
      </w:r>
      <w:r w:rsidRPr="0061020E">
        <w:rPr>
          <w:rFonts w:ascii="Rockwell" w:eastAsia="Calibri" w:hAnsi="Rockwell" w:cs="Arial"/>
          <w:color w:val="000000"/>
          <w:sz w:val="24"/>
          <w:szCs w:val="24"/>
        </w:rPr>
        <w:t xml:space="preserve">individu ou groupe d’individus soumis à l’influence de l’organisation ou pouvant l’influencer </w:t>
      </w:r>
      <w:r w:rsidRPr="0061020E">
        <w:rPr>
          <w:rFonts w:ascii="Rockwell" w:eastAsia="Calibri" w:hAnsi="Rockwell"/>
          <w:sz w:val="24"/>
          <w:szCs w:val="24"/>
        </w:rPr>
        <w:t>[3] ;</w:t>
      </w:r>
    </w:p>
    <w:p w:rsidR="00FA02CB" w:rsidRPr="0061020E" w:rsidRDefault="00FA02C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cs="Arial"/>
          <w:b/>
          <w:sz w:val="24"/>
          <w:szCs w:val="24"/>
        </w:rPr>
        <w:t xml:space="preserve">Règlement </w:t>
      </w:r>
      <w:r w:rsidR="00452CE7" w:rsidRPr="0061020E">
        <w:rPr>
          <w:rFonts w:ascii="Rockwell" w:eastAsia="Calibri" w:hAnsi="Rockwell" w:cs="Arial"/>
          <w:b/>
          <w:sz w:val="24"/>
          <w:szCs w:val="24"/>
        </w:rPr>
        <w:t>t</w:t>
      </w:r>
      <w:r w:rsidRPr="0061020E">
        <w:rPr>
          <w:rFonts w:ascii="Rockwell" w:eastAsia="Calibri" w:hAnsi="Rockwell" w:cs="Arial"/>
          <w:b/>
          <w:sz w:val="24"/>
          <w:szCs w:val="24"/>
        </w:rPr>
        <w:t>echnique :</w:t>
      </w:r>
      <w:r w:rsidRPr="0061020E">
        <w:rPr>
          <w:rFonts w:ascii="Rockwell" w:eastAsia="Calibri" w:hAnsi="Rockwell"/>
          <w:sz w:val="24"/>
          <w:szCs w:val="24"/>
        </w:rPr>
        <w:t xml:space="preserve"> document qui énonce un ensemble de caractéristiques d'un produit ou </w:t>
      </w:r>
      <w:r w:rsidRPr="0061020E">
        <w:rPr>
          <w:rFonts w:ascii="Rockwell" w:eastAsia="Calibri" w:hAnsi="Rockwell" w:cs="Arial"/>
          <w:sz w:val="24"/>
          <w:szCs w:val="24"/>
        </w:rPr>
        <w:t>les</w:t>
      </w:r>
      <w:r w:rsidRPr="0061020E">
        <w:rPr>
          <w:rFonts w:ascii="Rockwell" w:eastAsia="Calibri" w:hAnsi="Rockwell"/>
          <w:sz w:val="24"/>
          <w:szCs w:val="24"/>
        </w:rPr>
        <w:t xml:space="preserve"> procédés et méthodes de production</w:t>
      </w:r>
      <w:r w:rsidRPr="0061020E">
        <w:rPr>
          <w:rFonts w:ascii="Rockwell" w:eastAsia="Calibri" w:hAnsi="Rockwell" w:cs="Arial"/>
          <w:sz w:val="24"/>
          <w:szCs w:val="24"/>
        </w:rPr>
        <w:t xml:space="preserve"> s’y rapportant</w:t>
      </w:r>
      <w:r w:rsidRPr="0061020E">
        <w:rPr>
          <w:rFonts w:ascii="Rockwell" w:eastAsia="Calibri" w:hAnsi="Rockwell"/>
          <w:sz w:val="24"/>
          <w:szCs w:val="24"/>
        </w:rPr>
        <w:t xml:space="preserve">, y compris les dispositions administratives </w:t>
      </w:r>
      <w:r w:rsidRPr="0061020E">
        <w:rPr>
          <w:rFonts w:ascii="Rockwell" w:eastAsia="Calibri" w:hAnsi="Rockwell" w:cs="Arial"/>
          <w:sz w:val="24"/>
          <w:szCs w:val="24"/>
        </w:rPr>
        <w:t>qui s’y appliquent</w:t>
      </w:r>
      <w:r w:rsidRPr="0061020E">
        <w:rPr>
          <w:rFonts w:ascii="Rockwell" w:eastAsia="Calibri" w:hAnsi="Rockwell"/>
          <w:sz w:val="24"/>
          <w:szCs w:val="24"/>
        </w:rPr>
        <w:t xml:space="preserve">, dont le respect est obligatoire [3] ;  </w:t>
      </w:r>
    </w:p>
    <w:p w:rsidR="00A25FE6" w:rsidRDefault="00A25FE6" w:rsidP="008F6018">
      <w:pPr>
        <w:tabs>
          <w:tab w:val="left" w:pos="426"/>
        </w:tabs>
        <w:autoSpaceDE w:val="0"/>
        <w:autoSpaceDN w:val="0"/>
        <w:adjustRightInd w:val="0"/>
        <w:spacing w:after="120" w:line="240" w:lineRule="auto"/>
        <w:jc w:val="both"/>
        <w:rPr>
          <w:rFonts w:ascii="Rockwell" w:eastAsia="Calibri" w:hAnsi="Rockwell" w:cs="Arial"/>
          <w:b/>
          <w:sz w:val="24"/>
          <w:szCs w:val="24"/>
        </w:rPr>
      </w:pPr>
      <w:r>
        <w:rPr>
          <w:rFonts w:ascii="Rockwell" w:eastAsia="Calibri" w:hAnsi="Rockwell" w:cs="Arial"/>
          <w:b/>
          <w:sz w:val="24"/>
          <w:szCs w:val="24"/>
        </w:rPr>
        <w:t xml:space="preserve">Spécification : </w:t>
      </w:r>
      <w:r w:rsidRPr="00A25FE6">
        <w:rPr>
          <w:rFonts w:ascii="Rockwell" w:eastAsia="Calibri" w:hAnsi="Rockwell" w:cs="Arial"/>
          <w:sz w:val="24"/>
          <w:szCs w:val="24"/>
        </w:rPr>
        <w:t>document formulant des exigences</w:t>
      </w:r>
      <w:r>
        <w:rPr>
          <w:rFonts w:ascii="Rockwell" w:eastAsia="Calibri" w:hAnsi="Rockwell" w:cs="Arial"/>
          <w:b/>
          <w:sz w:val="24"/>
          <w:szCs w:val="24"/>
        </w:rPr>
        <w:t> ;</w:t>
      </w:r>
    </w:p>
    <w:p w:rsidR="00DF546B" w:rsidRPr="0061020E" w:rsidRDefault="00DF546B" w:rsidP="008F6018">
      <w:pPr>
        <w:tabs>
          <w:tab w:val="left" w:pos="426"/>
        </w:tabs>
        <w:autoSpaceDE w:val="0"/>
        <w:autoSpaceDN w:val="0"/>
        <w:adjustRightInd w:val="0"/>
        <w:spacing w:after="120" w:line="240" w:lineRule="auto"/>
        <w:jc w:val="both"/>
        <w:rPr>
          <w:rFonts w:ascii="Rockwell" w:eastAsia="Calibri" w:hAnsi="Rockwell"/>
          <w:sz w:val="24"/>
          <w:szCs w:val="24"/>
        </w:rPr>
      </w:pPr>
      <w:r w:rsidRPr="0061020E">
        <w:rPr>
          <w:rFonts w:ascii="Rockwell" w:eastAsia="Calibri" w:hAnsi="Rockwell" w:cs="Arial"/>
          <w:b/>
          <w:sz w:val="24"/>
          <w:szCs w:val="24"/>
        </w:rPr>
        <w:t>Traçabilité </w:t>
      </w:r>
      <w:r w:rsidRPr="0061020E">
        <w:rPr>
          <w:rFonts w:ascii="Rockwell" w:eastAsia="Calibri" w:hAnsi="Rockwell" w:cs="Arial"/>
          <w:sz w:val="24"/>
          <w:szCs w:val="24"/>
        </w:rPr>
        <w:t>: aptitude à retrouver l’historique, l’utilisation ou la localisation d’un article ou d’une activité, ou d’articles ou d’activités semblables, au moyen d’une identification enregistrée ;</w:t>
      </w:r>
    </w:p>
    <w:p w:rsidR="00DF546B" w:rsidRPr="0061020E" w:rsidRDefault="00DF546B" w:rsidP="008F6018">
      <w:pPr>
        <w:spacing w:after="120" w:line="240" w:lineRule="auto"/>
        <w:jc w:val="both"/>
        <w:rPr>
          <w:rFonts w:ascii="Rockwell" w:eastAsia="Calibri" w:hAnsi="Rockwell" w:cs="Arial"/>
          <w:spacing w:val="-3"/>
          <w:sz w:val="24"/>
          <w:szCs w:val="24"/>
        </w:rPr>
      </w:pPr>
      <w:r w:rsidRPr="0061020E">
        <w:rPr>
          <w:rFonts w:ascii="Rockwell" w:eastAsia="Calibri" w:hAnsi="Rockwell" w:cs="Arial"/>
          <w:b/>
          <w:sz w:val="24"/>
          <w:szCs w:val="24"/>
        </w:rPr>
        <w:t xml:space="preserve">Traçabilité de la mesure : </w:t>
      </w:r>
      <w:r w:rsidRPr="0061020E">
        <w:rPr>
          <w:rFonts w:ascii="Rockwell" w:eastAsia="Calibri" w:hAnsi="Rockwell" w:cs="Arial"/>
          <w:sz w:val="24"/>
          <w:szCs w:val="24"/>
        </w:rPr>
        <w:t xml:space="preserve">propriété d’un résultat de mesure selon laquelle ce résultat peut être relié à une référence par l’intermédiaire d’une </w:t>
      </w:r>
      <w:r w:rsidRPr="0061020E">
        <w:rPr>
          <w:rFonts w:ascii="Rockwell" w:eastAsia="Calibri" w:hAnsi="Rockwell" w:cs="Arial"/>
          <w:spacing w:val="-3"/>
          <w:sz w:val="24"/>
          <w:szCs w:val="24"/>
        </w:rPr>
        <w:t>chaîne ininterrompue et documentée d’étalonnages dont chacun contribue à l’incertitude</w:t>
      </w:r>
    </w:p>
    <w:p w:rsidR="00422FAF" w:rsidRPr="0061020E" w:rsidRDefault="00422FAF" w:rsidP="008F6018">
      <w:pPr>
        <w:spacing w:after="120" w:line="240" w:lineRule="auto"/>
        <w:jc w:val="both"/>
        <w:rPr>
          <w:rFonts w:ascii="Rockwell" w:hAnsi="Rockwell" w:cs="Estrangelo Edessa"/>
          <w:sz w:val="24"/>
          <w:szCs w:val="24"/>
        </w:rPr>
      </w:pPr>
    </w:p>
    <w:p w:rsidR="00DF546B" w:rsidRPr="004165B7" w:rsidRDefault="007E1886" w:rsidP="008F6018">
      <w:pPr>
        <w:pStyle w:val="Titre2"/>
        <w:numPr>
          <w:ilvl w:val="0"/>
          <w:numId w:val="83"/>
        </w:numPr>
        <w:spacing w:before="0" w:after="120" w:line="240" w:lineRule="auto"/>
        <w:jc w:val="both"/>
        <w:rPr>
          <w:rFonts w:ascii="Rockwell" w:hAnsi="Rockwell"/>
          <w:color w:val="auto"/>
          <w:sz w:val="24"/>
          <w:szCs w:val="24"/>
        </w:rPr>
      </w:pPr>
      <w:bookmarkStart w:id="12" w:name="_Toc503784919"/>
      <w:bookmarkStart w:id="13" w:name="_Toc505063261"/>
      <w:r w:rsidRPr="004165B7">
        <w:rPr>
          <w:rFonts w:ascii="Rockwell" w:hAnsi="Rockwell"/>
          <w:color w:val="auto"/>
          <w:sz w:val="24"/>
          <w:szCs w:val="24"/>
        </w:rPr>
        <w:t>Contexte général de la r</w:t>
      </w:r>
      <w:r w:rsidR="00452CE7">
        <w:rPr>
          <w:rFonts w:ascii="Rockwell" w:hAnsi="Rockwell"/>
          <w:color w:val="auto"/>
          <w:sz w:val="24"/>
          <w:szCs w:val="24"/>
        </w:rPr>
        <w:t>é</w:t>
      </w:r>
      <w:r w:rsidRPr="004165B7">
        <w:rPr>
          <w:rFonts w:ascii="Rockwell" w:hAnsi="Rockwell"/>
          <w:color w:val="auto"/>
          <w:sz w:val="24"/>
          <w:szCs w:val="24"/>
        </w:rPr>
        <w:t>glementation, de la normalisation et de la certification</w:t>
      </w:r>
      <w:bookmarkEnd w:id="12"/>
      <w:bookmarkEnd w:id="13"/>
      <w:r w:rsidR="00BD6A85" w:rsidRPr="004165B7">
        <w:rPr>
          <w:rFonts w:ascii="Rockwell" w:hAnsi="Rockwell"/>
          <w:color w:val="auto"/>
          <w:sz w:val="24"/>
          <w:szCs w:val="24"/>
        </w:rPr>
        <w:t xml:space="preserve"> </w:t>
      </w:r>
    </w:p>
    <w:p w:rsidR="006107C2" w:rsidRPr="0061020E" w:rsidRDefault="006107C2"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 xml:space="preserve">La protection du consommateur, la </w:t>
      </w:r>
      <w:r w:rsidR="00E64B9A" w:rsidRPr="0061020E">
        <w:rPr>
          <w:rFonts w:ascii="Rockwell" w:hAnsi="Rockwell" w:cs="Estrangelo Edessa"/>
          <w:sz w:val="24"/>
          <w:szCs w:val="24"/>
        </w:rPr>
        <w:t>compétitivité</w:t>
      </w:r>
      <w:r w:rsidRPr="0061020E">
        <w:rPr>
          <w:rFonts w:ascii="Rockwell" w:hAnsi="Rockwell" w:cs="Estrangelo Edessa"/>
          <w:sz w:val="24"/>
          <w:szCs w:val="24"/>
        </w:rPr>
        <w:t xml:space="preserve"> des entreprises nationales, la sécurité nationale, la préservation de l’environnement ont toujours été au centre des préoccupations des </w:t>
      </w:r>
      <w:r w:rsidR="00452CE7">
        <w:rPr>
          <w:rFonts w:ascii="Rockwell" w:hAnsi="Rockwell" w:cs="Estrangelo Edessa"/>
          <w:sz w:val="24"/>
          <w:szCs w:val="24"/>
        </w:rPr>
        <w:t>a</w:t>
      </w:r>
      <w:r w:rsidRPr="0061020E">
        <w:rPr>
          <w:rFonts w:ascii="Rockwell" w:hAnsi="Rockwell" w:cs="Estrangelo Edessa"/>
          <w:sz w:val="24"/>
          <w:szCs w:val="24"/>
        </w:rPr>
        <w:t>utorités du Burkina Faso. Cela s’est traduit par la mise en place d’un dispositif réglementaire</w:t>
      </w:r>
      <w:r w:rsidR="00452CE7">
        <w:rPr>
          <w:rFonts w:ascii="Rockwell" w:hAnsi="Rockwell" w:cs="Estrangelo Edessa"/>
          <w:sz w:val="24"/>
          <w:szCs w:val="24"/>
        </w:rPr>
        <w:t>,</w:t>
      </w:r>
      <w:r w:rsidRPr="0061020E">
        <w:rPr>
          <w:rFonts w:ascii="Rockwell" w:hAnsi="Rockwell" w:cs="Estrangelo Edessa"/>
          <w:sz w:val="24"/>
          <w:szCs w:val="24"/>
        </w:rPr>
        <w:t xml:space="preserve"> en vue d’atteindre les objectifs</w:t>
      </w:r>
      <w:r w:rsidR="00452CE7">
        <w:rPr>
          <w:rFonts w:ascii="Rockwell" w:hAnsi="Rockwell" w:cs="Estrangelo Edessa"/>
          <w:sz w:val="24"/>
          <w:szCs w:val="24"/>
        </w:rPr>
        <w:t>,</w:t>
      </w:r>
      <w:r w:rsidRPr="0061020E">
        <w:rPr>
          <w:rFonts w:ascii="Rockwell" w:hAnsi="Rockwell" w:cs="Estrangelo Edessa"/>
          <w:sz w:val="24"/>
          <w:szCs w:val="24"/>
        </w:rPr>
        <w:t xml:space="preserve"> ci-dessus cités.</w:t>
      </w:r>
    </w:p>
    <w:p w:rsidR="00955543" w:rsidRPr="0061020E" w:rsidRDefault="006107C2" w:rsidP="008F6018">
      <w:pPr>
        <w:spacing w:after="120" w:line="240" w:lineRule="auto"/>
        <w:jc w:val="both"/>
        <w:rPr>
          <w:rFonts w:ascii="Rockwell" w:hAnsi="Rockwell" w:cs="Estrangelo Edessa"/>
          <w:sz w:val="24"/>
          <w:szCs w:val="24"/>
        </w:rPr>
      </w:pPr>
      <w:r w:rsidRPr="0061020E">
        <w:rPr>
          <w:rFonts w:ascii="Rockwell" w:hAnsi="Rockwell" w:cs="Estrangelo Edessa"/>
          <w:sz w:val="24"/>
          <w:szCs w:val="24"/>
        </w:rPr>
        <w:t>Dans la même dynamique, l’infrastructure qualité du pays s’est vue renforcée avec la mise en place d’</w:t>
      </w:r>
      <w:r w:rsidR="00955543" w:rsidRPr="0061020E">
        <w:rPr>
          <w:rFonts w:ascii="Rockwell" w:hAnsi="Rockwell" w:cs="Estrangelo Edessa"/>
          <w:sz w:val="24"/>
          <w:szCs w:val="24"/>
        </w:rPr>
        <w:t>un système de normalisation,</w:t>
      </w:r>
      <w:r w:rsidRPr="0061020E">
        <w:rPr>
          <w:rFonts w:ascii="Rockwell" w:hAnsi="Rockwell" w:cs="Estrangelo Edessa"/>
          <w:sz w:val="24"/>
          <w:szCs w:val="24"/>
        </w:rPr>
        <w:t xml:space="preserve"> de certification</w:t>
      </w:r>
      <w:r w:rsidR="00955543" w:rsidRPr="0061020E">
        <w:rPr>
          <w:rFonts w:ascii="Rockwell" w:hAnsi="Rockwell" w:cs="Estrangelo Edessa"/>
          <w:sz w:val="24"/>
          <w:szCs w:val="24"/>
        </w:rPr>
        <w:t>, d’accréditation et de promotion de la qualité.</w:t>
      </w:r>
    </w:p>
    <w:p w:rsidR="002E6B83" w:rsidRPr="0061020E" w:rsidRDefault="002E6B83" w:rsidP="008F6018">
      <w:pPr>
        <w:spacing w:after="120" w:line="240" w:lineRule="auto"/>
        <w:jc w:val="both"/>
        <w:rPr>
          <w:rFonts w:ascii="Rockwell" w:hAnsi="Rockwell" w:cs="Estrangelo Edessa"/>
          <w:sz w:val="24"/>
          <w:szCs w:val="24"/>
        </w:rPr>
      </w:pPr>
    </w:p>
    <w:p w:rsidR="00DD7EAB" w:rsidRPr="0061020E" w:rsidRDefault="00FA02CB" w:rsidP="008F6018">
      <w:pPr>
        <w:pStyle w:val="Titre3"/>
        <w:numPr>
          <w:ilvl w:val="0"/>
          <w:numId w:val="85"/>
        </w:numPr>
        <w:spacing w:before="0" w:after="120" w:line="240" w:lineRule="auto"/>
        <w:jc w:val="both"/>
        <w:rPr>
          <w:rFonts w:ascii="Rockwell" w:hAnsi="Rockwell"/>
          <w:color w:val="auto"/>
          <w:sz w:val="24"/>
          <w:szCs w:val="24"/>
        </w:rPr>
      </w:pPr>
      <w:bookmarkStart w:id="14" w:name="_Toc462905137"/>
      <w:bookmarkStart w:id="15" w:name="_Toc462905352"/>
      <w:bookmarkStart w:id="16" w:name="_Toc462906200"/>
      <w:bookmarkStart w:id="17" w:name="_Toc462906341"/>
      <w:bookmarkStart w:id="18" w:name="_Toc317070292"/>
      <w:bookmarkStart w:id="19" w:name="_Toc280695580"/>
      <w:bookmarkStart w:id="20" w:name="_Toc505063262"/>
      <w:bookmarkEnd w:id="14"/>
      <w:bookmarkEnd w:id="15"/>
      <w:bookmarkEnd w:id="16"/>
      <w:bookmarkEnd w:id="17"/>
      <w:r w:rsidRPr="0061020E">
        <w:rPr>
          <w:rFonts w:ascii="Rockwell" w:hAnsi="Rockwell"/>
          <w:color w:val="auto"/>
          <w:sz w:val="24"/>
          <w:szCs w:val="24"/>
        </w:rPr>
        <w:t>État</w:t>
      </w:r>
      <w:r w:rsidR="00DD7EAB" w:rsidRPr="0061020E">
        <w:rPr>
          <w:rFonts w:ascii="Rockwell" w:hAnsi="Rockwell"/>
          <w:color w:val="auto"/>
          <w:sz w:val="24"/>
          <w:szCs w:val="24"/>
        </w:rPr>
        <w:t xml:space="preserve"> des lieux de l’infrastructure qualité</w:t>
      </w:r>
      <w:bookmarkEnd w:id="18"/>
      <w:bookmarkEnd w:id="19"/>
      <w:bookmarkEnd w:id="20"/>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Afin de répondre aux enjeux économiques et commerciaux engendrés par la mondialisation</w:t>
      </w:r>
      <w:r w:rsidR="00452CE7">
        <w:rPr>
          <w:rFonts w:ascii="Rockwell" w:hAnsi="Rockwell"/>
          <w:sz w:val="24"/>
          <w:szCs w:val="24"/>
        </w:rPr>
        <w:t>,</w:t>
      </w:r>
      <w:r w:rsidRPr="0061020E">
        <w:rPr>
          <w:rFonts w:ascii="Rockwell" w:hAnsi="Rockwell"/>
          <w:sz w:val="24"/>
          <w:szCs w:val="24"/>
        </w:rPr>
        <w:t xml:space="preserve"> ainsi qu’aux préoccupations d’ordre social (santé, environnement, protection des consommateurs, etc.), le Burkina Faso doit disposer d’une infrastructure qualité efficace et opérationnelle. </w:t>
      </w: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Selon les recommandations de l’étude de l’UEMOA relative à l’harmonisation du cadre institutionnel de la qualité, chaque pays devra disposer d’une infrastructure qualité œuvrant dans les principaux domaines de la qualité</w:t>
      </w:r>
      <w:r w:rsidR="00452CE7">
        <w:rPr>
          <w:rFonts w:ascii="Rockwell" w:hAnsi="Rockwell"/>
          <w:sz w:val="24"/>
          <w:szCs w:val="24"/>
        </w:rPr>
        <w:t>,</w:t>
      </w:r>
      <w:r w:rsidRPr="0061020E">
        <w:rPr>
          <w:rFonts w:ascii="Rockwell" w:hAnsi="Rockwell"/>
          <w:sz w:val="24"/>
          <w:szCs w:val="24"/>
        </w:rPr>
        <w:t xml:space="preserve"> ci-après : </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la normalisation,</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la métrologie,</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l’évaluation de la conformité (analyses et essais, inspection, certification),</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l’accréditation,</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le management de la qualité,</w:t>
      </w:r>
    </w:p>
    <w:p w:rsidR="00DD7EAB" w:rsidRPr="0061020E" w:rsidRDefault="00DD7EAB" w:rsidP="008F6018">
      <w:pPr>
        <w:pStyle w:val="Paragraphedeliste"/>
        <w:numPr>
          <w:ilvl w:val="0"/>
          <w:numId w:val="76"/>
        </w:numPr>
        <w:spacing w:after="120" w:line="240" w:lineRule="auto"/>
        <w:jc w:val="both"/>
        <w:rPr>
          <w:rFonts w:ascii="Rockwell" w:hAnsi="Rockwell"/>
          <w:sz w:val="24"/>
          <w:szCs w:val="24"/>
        </w:rPr>
      </w:pPr>
      <w:r w:rsidRPr="0061020E">
        <w:rPr>
          <w:rFonts w:ascii="Rockwell" w:hAnsi="Rockwell"/>
          <w:sz w:val="24"/>
          <w:szCs w:val="24"/>
        </w:rPr>
        <w:t>la promotion de la qualité.</w:t>
      </w:r>
    </w:p>
    <w:p w:rsidR="002E6B83" w:rsidRPr="0061020E" w:rsidRDefault="002E6B83" w:rsidP="008F6018">
      <w:pPr>
        <w:pStyle w:val="Paragraphedeliste"/>
        <w:spacing w:after="120" w:line="240" w:lineRule="auto"/>
        <w:jc w:val="both"/>
        <w:rPr>
          <w:rFonts w:ascii="Rockwell" w:hAnsi="Rockwell"/>
          <w:sz w:val="24"/>
          <w:szCs w:val="24"/>
        </w:rPr>
      </w:pP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Le diagramme ci-après</w:t>
      </w:r>
      <w:r w:rsidR="004C35FC">
        <w:rPr>
          <w:rFonts w:ascii="Rockwell" w:hAnsi="Rockwell"/>
          <w:sz w:val="24"/>
          <w:szCs w:val="24"/>
        </w:rPr>
        <w:t>,</w:t>
      </w:r>
      <w:r w:rsidRPr="0061020E">
        <w:rPr>
          <w:rFonts w:ascii="Rockwell" w:hAnsi="Rockwell"/>
          <w:sz w:val="24"/>
          <w:szCs w:val="24"/>
        </w:rPr>
        <w:t xml:space="preserve"> décrit les différents organismes et structures parties prenantes d’une infrastructure qualité</w:t>
      </w:r>
    </w:p>
    <w:p w:rsidR="00DD7EAB" w:rsidRPr="0061020E" w:rsidRDefault="00DD7EAB" w:rsidP="008F6018">
      <w:pPr>
        <w:spacing w:after="120" w:line="240" w:lineRule="auto"/>
        <w:jc w:val="both"/>
        <w:rPr>
          <w:rFonts w:ascii="Rockwell" w:hAnsi="Rockwell" w:cs="Estrangelo Edessa"/>
          <w:sz w:val="24"/>
          <w:szCs w:val="24"/>
        </w:rPr>
      </w:pPr>
      <w:r w:rsidRPr="0061020E">
        <w:rPr>
          <w:rFonts w:ascii="Rockwell" w:hAnsi="Rockwell"/>
          <w:noProof/>
          <w:sz w:val="24"/>
          <w:szCs w:val="24"/>
          <w:lang w:eastAsia="fr-FR"/>
        </w:rPr>
        <w:lastRenderedPageBreak/>
        <w:drawing>
          <wp:inline distT="0" distB="0" distL="0" distR="0" wp14:anchorId="5FF9B19A" wp14:editId="091F52C4">
            <wp:extent cx="6048000" cy="3704174"/>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6267" t="20978" r="6000" b="7378"/>
                    <a:stretch/>
                  </pic:blipFill>
                  <pic:spPr bwMode="auto">
                    <a:xfrm>
                      <a:off x="0" y="0"/>
                      <a:ext cx="6048000" cy="3704174"/>
                    </a:xfrm>
                    <a:prstGeom prst="rect">
                      <a:avLst/>
                    </a:prstGeom>
                    <a:ln>
                      <a:noFill/>
                    </a:ln>
                    <a:extLst>
                      <a:ext uri="{53640926-AAD7-44D8-BBD7-CCE9431645EC}">
                        <a14:shadowObscured xmlns:a14="http://schemas.microsoft.com/office/drawing/2010/main"/>
                      </a:ext>
                    </a:extLst>
                  </pic:spPr>
                </pic:pic>
              </a:graphicData>
            </a:graphic>
          </wp:inline>
        </w:drawing>
      </w:r>
    </w:p>
    <w:p w:rsidR="00DD7EAB" w:rsidRDefault="00D63109" w:rsidP="008F6018">
      <w:pPr>
        <w:spacing w:after="120" w:line="240" w:lineRule="auto"/>
        <w:jc w:val="both"/>
        <w:rPr>
          <w:rFonts w:ascii="Rockwell" w:hAnsi="Rockwell" w:cs="Estrangelo Edessa"/>
          <w:i/>
          <w:sz w:val="24"/>
          <w:szCs w:val="24"/>
        </w:rPr>
      </w:pPr>
      <w:r w:rsidRPr="0061020E">
        <w:rPr>
          <w:rFonts w:ascii="Rockwell" w:hAnsi="Rockwell" w:cs="Estrangelo Edessa"/>
          <w:i/>
          <w:sz w:val="24"/>
          <w:szCs w:val="24"/>
        </w:rPr>
        <w:t xml:space="preserve">Figure 1 : représentation des </w:t>
      </w:r>
      <w:r w:rsidR="00732CD1" w:rsidRPr="0061020E">
        <w:rPr>
          <w:rFonts w:ascii="Rockwell" w:hAnsi="Rockwell" w:cs="Estrangelo Edessa"/>
          <w:i/>
          <w:sz w:val="24"/>
          <w:szCs w:val="24"/>
        </w:rPr>
        <w:t>organismes et structures parties prenantes d’une infrastructure qualité.</w:t>
      </w:r>
    </w:p>
    <w:p w:rsidR="008F6018" w:rsidRPr="0061020E" w:rsidRDefault="008F6018" w:rsidP="008F6018">
      <w:pPr>
        <w:spacing w:after="120" w:line="240" w:lineRule="auto"/>
        <w:jc w:val="both"/>
        <w:rPr>
          <w:rFonts w:ascii="Rockwell" w:hAnsi="Rockwell" w:cs="Estrangelo Edessa"/>
          <w:i/>
          <w:sz w:val="24"/>
          <w:szCs w:val="24"/>
        </w:rPr>
      </w:pPr>
    </w:p>
    <w:p w:rsidR="00DD7EAB" w:rsidRPr="0061020E" w:rsidRDefault="00DD7EAB" w:rsidP="008F6018">
      <w:pPr>
        <w:pStyle w:val="Titre3"/>
        <w:numPr>
          <w:ilvl w:val="0"/>
          <w:numId w:val="85"/>
        </w:numPr>
        <w:spacing w:before="0" w:after="120" w:line="240" w:lineRule="auto"/>
        <w:jc w:val="both"/>
        <w:rPr>
          <w:rFonts w:ascii="Rockwell" w:hAnsi="Rockwell"/>
          <w:color w:val="auto"/>
          <w:sz w:val="24"/>
          <w:szCs w:val="24"/>
        </w:rPr>
      </w:pPr>
      <w:bookmarkStart w:id="21" w:name="_Toc317070293"/>
      <w:bookmarkStart w:id="22" w:name="_Toc280695582"/>
      <w:bookmarkStart w:id="23" w:name="_Toc505063263"/>
      <w:r w:rsidRPr="0061020E">
        <w:rPr>
          <w:rFonts w:ascii="Rockwell" w:hAnsi="Rockwell"/>
          <w:color w:val="auto"/>
          <w:sz w:val="24"/>
          <w:szCs w:val="24"/>
        </w:rPr>
        <w:t>Cadre juridique et institutionnel de l’infrastructure qualité au Burkina Faso</w:t>
      </w:r>
      <w:bookmarkEnd w:id="21"/>
      <w:bookmarkEnd w:id="22"/>
      <w:bookmarkEnd w:id="23"/>
    </w:p>
    <w:p w:rsidR="00DD7EAB" w:rsidRDefault="00DD7EAB" w:rsidP="008F6018">
      <w:pPr>
        <w:spacing w:after="120" w:line="240" w:lineRule="auto"/>
        <w:jc w:val="both"/>
        <w:rPr>
          <w:rFonts w:ascii="Rockwell" w:hAnsi="Rockwell"/>
          <w:sz w:val="24"/>
          <w:szCs w:val="24"/>
        </w:rPr>
      </w:pPr>
      <w:r w:rsidRPr="0061020E">
        <w:rPr>
          <w:rFonts w:ascii="Rockwell" w:hAnsi="Rockwell"/>
          <w:sz w:val="24"/>
          <w:szCs w:val="24"/>
        </w:rPr>
        <w:t>L’infrastructure qualité burkinab</w:t>
      </w:r>
      <w:r w:rsidR="004C35FC">
        <w:rPr>
          <w:rFonts w:ascii="Rockwell" w:hAnsi="Rockwell"/>
          <w:sz w:val="24"/>
          <w:szCs w:val="24"/>
        </w:rPr>
        <w:t>è</w:t>
      </w:r>
      <w:r w:rsidRPr="0061020E">
        <w:rPr>
          <w:rFonts w:ascii="Rockwell" w:hAnsi="Rockwell"/>
          <w:sz w:val="24"/>
          <w:szCs w:val="24"/>
        </w:rPr>
        <w:t xml:space="preserve"> est composée d’un certain nombre de structures des secteurs public et privé. Le fonctionnement de cette infrastructure est régi par un ensemble de textes à caractère juridique que nous allons présenter dans ce chapitre.</w:t>
      </w:r>
    </w:p>
    <w:p w:rsidR="00C27000" w:rsidRPr="0061020E" w:rsidRDefault="00C27000" w:rsidP="008F6018">
      <w:pPr>
        <w:spacing w:after="120" w:line="240" w:lineRule="auto"/>
        <w:jc w:val="both"/>
        <w:rPr>
          <w:rFonts w:ascii="Rockwell" w:hAnsi="Rockwell"/>
          <w:sz w:val="24"/>
          <w:szCs w:val="24"/>
        </w:rPr>
      </w:pPr>
    </w:p>
    <w:p w:rsidR="00DD7EAB" w:rsidRPr="0061020E" w:rsidRDefault="00A94001" w:rsidP="008F6018">
      <w:pPr>
        <w:pStyle w:val="Titre4"/>
        <w:numPr>
          <w:ilvl w:val="0"/>
          <w:numId w:val="87"/>
        </w:numPr>
        <w:spacing w:before="0" w:after="120" w:line="240" w:lineRule="auto"/>
        <w:jc w:val="both"/>
        <w:rPr>
          <w:rFonts w:ascii="Rockwell" w:hAnsi="Rockwell"/>
          <w:i w:val="0"/>
          <w:color w:val="auto"/>
          <w:sz w:val="24"/>
          <w:szCs w:val="24"/>
        </w:rPr>
      </w:pPr>
      <w:bookmarkStart w:id="24" w:name="_Toc505063264"/>
      <w:r>
        <w:rPr>
          <w:rFonts w:ascii="Rockwell" w:hAnsi="Rockwell"/>
          <w:i w:val="0"/>
          <w:color w:val="auto"/>
          <w:sz w:val="24"/>
          <w:szCs w:val="24"/>
        </w:rPr>
        <w:t>C</w:t>
      </w:r>
      <w:r w:rsidR="00DD7EAB" w:rsidRPr="0061020E">
        <w:rPr>
          <w:rFonts w:ascii="Rockwell" w:hAnsi="Rockwell"/>
          <w:i w:val="0"/>
          <w:color w:val="auto"/>
          <w:sz w:val="24"/>
          <w:szCs w:val="24"/>
        </w:rPr>
        <w:t>adre juridique</w:t>
      </w:r>
      <w:bookmarkEnd w:id="24"/>
    </w:p>
    <w:p w:rsidR="00DD7EAB" w:rsidRDefault="00DD7EAB" w:rsidP="008F6018">
      <w:pPr>
        <w:spacing w:after="120" w:line="240" w:lineRule="auto"/>
        <w:jc w:val="both"/>
        <w:rPr>
          <w:rFonts w:ascii="Rockwell" w:hAnsi="Rockwell"/>
          <w:sz w:val="24"/>
          <w:szCs w:val="24"/>
        </w:rPr>
      </w:pPr>
      <w:r w:rsidRPr="0061020E">
        <w:rPr>
          <w:rFonts w:ascii="Rockwell" w:hAnsi="Rockwell"/>
          <w:sz w:val="24"/>
          <w:szCs w:val="24"/>
        </w:rPr>
        <w:t xml:space="preserve">Les textes juridiques peuvent être regroupés en textes de droit </w:t>
      </w:r>
      <w:r w:rsidR="001D683C" w:rsidRPr="0061020E">
        <w:rPr>
          <w:rFonts w:ascii="Rockwell" w:hAnsi="Rockwell"/>
          <w:sz w:val="24"/>
          <w:szCs w:val="24"/>
        </w:rPr>
        <w:t xml:space="preserve">international, </w:t>
      </w:r>
      <w:r w:rsidR="00704BA1">
        <w:rPr>
          <w:rFonts w:ascii="Rockwell" w:hAnsi="Rockwell"/>
          <w:sz w:val="24"/>
          <w:szCs w:val="24"/>
        </w:rPr>
        <w:t>communautaire</w:t>
      </w:r>
      <w:r w:rsidR="001D683C" w:rsidRPr="0061020E">
        <w:rPr>
          <w:rFonts w:ascii="Rockwell" w:hAnsi="Rockwell"/>
          <w:sz w:val="24"/>
          <w:szCs w:val="24"/>
        </w:rPr>
        <w:t xml:space="preserve"> et national</w:t>
      </w:r>
      <w:r w:rsidRPr="0061020E">
        <w:rPr>
          <w:rFonts w:ascii="Rockwell" w:hAnsi="Rockwell"/>
          <w:sz w:val="24"/>
          <w:szCs w:val="24"/>
        </w:rPr>
        <w:t>.</w:t>
      </w:r>
    </w:p>
    <w:p w:rsidR="00C27000" w:rsidRPr="0061020E" w:rsidRDefault="00C27000" w:rsidP="008F6018">
      <w:pPr>
        <w:spacing w:after="120" w:line="240" w:lineRule="auto"/>
        <w:jc w:val="both"/>
        <w:rPr>
          <w:rFonts w:ascii="Rockwell" w:hAnsi="Rockwell"/>
          <w:sz w:val="24"/>
          <w:szCs w:val="24"/>
        </w:rPr>
      </w:pPr>
    </w:p>
    <w:p w:rsidR="001D683C" w:rsidRPr="003F532B" w:rsidRDefault="001D683C" w:rsidP="008F6018">
      <w:pPr>
        <w:pStyle w:val="Titre4"/>
        <w:numPr>
          <w:ilvl w:val="0"/>
          <w:numId w:val="87"/>
        </w:numPr>
        <w:spacing w:before="0" w:after="120" w:line="240" w:lineRule="auto"/>
        <w:jc w:val="both"/>
        <w:rPr>
          <w:rFonts w:ascii="Rockwell" w:hAnsi="Rockwell"/>
          <w:i w:val="0"/>
          <w:color w:val="auto"/>
          <w:sz w:val="24"/>
          <w:szCs w:val="24"/>
        </w:rPr>
      </w:pPr>
      <w:bookmarkStart w:id="25" w:name="_Toc505063265"/>
      <w:r w:rsidRPr="003F532B">
        <w:rPr>
          <w:rFonts w:ascii="Rockwell" w:hAnsi="Rockwell"/>
          <w:i w:val="0"/>
          <w:color w:val="auto"/>
          <w:sz w:val="24"/>
          <w:szCs w:val="24"/>
        </w:rPr>
        <w:t>Textes internationaux</w:t>
      </w:r>
      <w:bookmarkEnd w:id="25"/>
    </w:p>
    <w:p w:rsidR="001D683C" w:rsidRPr="0061020E" w:rsidRDefault="001D683C" w:rsidP="008F6018">
      <w:pPr>
        <w:spacing w:after="120" w:line="240" w:lineRule="auto"/>
        <w:jc w:val="both"/>
        <w:rPr>
          <w:rFonts w:ascii="Rockwell" w:hAnsi="Rockwell"/>
          <w:sz w:val="24"/>
          <w:szCs w:val="24"/>
        </w:rPr>
      </w:pPr>
      <w:r w:rsidRPr="0061020E">
        <w:rPr>
          <w:rFonts w:ascii="Rockwell" w:hAnsi="Rockwell"/>
          <w:iCs/>
          <w:sz w:val="24"/>
          <w:szCs w:val="24"/>
        </w:rPr>
        <w:t xml:space="preserve">Le dispositif juridique international est constitué des accords de l’OMC d’une part, et des normes et lignes directrices des organismes internationaux compétents en la matière : ISO, Convention </w:t>
      </w:r>
      <w:r w:rsidR="004C35FC" w:rsidRPr="0061020E">
        <w:rPr>
          <w:rFonts w:ascii="Rockwell" w:hAnsi="Rockwell"/>
          <w:iCs/>
          <w:sz w:val="24"/>
          <w:szCs w:val="24"/>
        </w:rPr>
        <w:t>i</w:t>
      </w:r>
      <w:r w:rsidRPr="0061020E">
        <w:rPr>
          <w:rFonts w:ascii="Rockwell" w:hAnsi="Rockwell"/>
          <w:iCs/>
          <w:sz w:val="24"/>
          <w:szCs w:val="24"/>
        </w:rPr>
        <w:t xml:space="preserve">nternationale pour la </w:t>
      </w:r>
      <w:r w:rsidR="004C35FC">
        <w:rPr>
          <w:rFonts w:ascii="Rockwell" w:hAnsi="Rockwell"/>
          <w:iCs/>
          <w:sz w:val="24"/>
          <w:szCs w:val="24"/>
        </w:rPr>
        <w:t>p</w:t>
      </w:r>
      <w:r w:rsidRPr="0061020E">
        <w:rPr>
          <w:rFonts w:ascii="Rockwell" w:hAnsi="Rockwell"/>
          <w:iCs/>
          <w:sz w:val="24"/>
          <w:szCs w:val="24"/>
        </w:rPr>
        <w:t xml:space="preserve">rotection des végétaux (CIPV), Commission FAO/OMS du Codex alimentarius, Organisation mondiale de la santé animale, CEI. </w:t>
      </w:r>
    </w:p>
    <w:p w:rsidR="001D683C" w:rsidRDefault="001D683C" w:rsidP="008F6018">
      <w:pPr>
        <w:spacing w:after="120" w:line="240" w:lineRule="auto"/>
        <w:jc w:val="both"/>
        <w:rPr>
          <w:rFonts w:ascii="Rockwell" w:hAnsi="Rockwell"/>
          <w:bCs/>
          <w:color w:val="333333"/>
          <w:sz w:val="24"/>
          <w:szCs w:val="24"/>
        </w:rPr>
      </w:pPr>
      <w:r w:rsidRPr="0061020E">
        <w:rPr>
          <w:rFonts w:ascii="Rockwell" w:hAnsi="Rockwell"/>
          <w:sz w:val="24"/>
          <w:szCs w:val="24"/>
        </w:rPr>
        <w:t xml:space="preserve">En matière de normalisation, le Burkina Faso est membre de diverses organisations, notamment par le biais de </w:t>
      </w:r>
      <w:r w:rsidR="0057016A" w:rsidRPr="0057016A">
        <w:rPr>
          <w:rFonts w:ascii="Rockwell" w:hAnsi="Rockwell"/>
          <w:sz w:val="24"/>
          <w:szCs w:val="24"/>
        </w:rPr>
        <w:t>F</w:t>
      </w:r>
      <w:r w:rsidR="004C35FC" w:rsidRPr="0057016A">
        <w:rPr>
          <w:rFonts w:ascii="Rockwell" w:hAnsi="Rockwell"/>
          <w:sz w:val="24"/>
          <w:szCs w:val="24"/>
        </w:rPr>
        <w:t>asonorm</w:t>
      </w:r>
      <w:r w:rsidRPr="0057016A">
        <w:rPr>
          <w:rFonts w:ascii="Rockwell" w:hAnsi="Rockwell"/>
          <w:bCs/>
          <w:sz w:val="24"/>
          <w:szCs w:val="24"/>
        </w:rPr>
        <w:t>.</w:t>
      </w:r>
      <w:r w:rsidRPr="0061020E">
        <w:rPr>
          <w:rFonts w:ascii="Rockwell" w:hAnsi="Rockwell"/>
          <w:bCs/>
          <w:sz w:val="24"/>
          <w:szCs w:val="24"/>
        </w:rPr>
        <w:t xml:space="preserve"> Dans le cadre de ces organisations, le Burkina Faso participe à l’activité de normalisation et à la coopération internationale en la matière</w:t>
      </w:r>
      <w:r w:rsidRPr="0061020E">
        <w:rPr>
          <w:rFonts w:ascii="Rockwell" w:hAnsi="Rockwell"/>
          <w:bCs/>
          <w:color w:val="333333"/>
          <w:sz w:val="24"/>
          <w:szCs w:val="24"/>
        </w:rPr>
        <w:t xml:space="preserve">. </w:t>
      </w:r>
    </w:p>
    <w:p w:rsidR="00C27000" w:rsidRPr="0061020E" w:rsidRDefault="00C27000" w:rsidP="008F6018">
      <w:pPr>
        <w:spacing w:after="120" w:line="240" w:lineRule="auto"/>
        <w:jc w:val="both"/>
        <w:rPr>
          <w:rFonts w:ascii="Rockwell" w:hAnsi="Rockwell"/>
          <w:sz w:val="24"/>
          <w:szCs w:val="24"/>
        </w:rPr>
      </w:pPr>
    </w:p>
    <w:p w:rsidR="00DD7EAB" w:rsidRPr="003F532B" w:rsidRDefault="00DD7EAB" w:rsidP="008F6018">
      <w:pPr>
        <w:pStyle w:val="Titre4"/>
        <w:numPr>
          <w:ilvl w:val="0"/>
          <w:numId w:val="87"/>
        </w:numPr>
        <w:spacing w:before="0" w:after="120" w:line="240" w:lineRule="auto"/>
        <w:jc w:val="both"/>
        <w:rPr>
          <w:rFonts w:ascii="Rockwell" w:hAnsi="Rockwell"/>
          <w:i w:val="0"/>
          <w:color w:val="auto"/>
          <w:sz w:val="24"/>
          <w:szCs w:val="24"/>
        </w:rPr>
      </w:pPr>
      <w:bookmarkStart w:id="26" w:name="_Toc505063266"/>
      <w:r w:rsidRPr="003F532B">
        <w:rPr>
          <w:rFonts w:ascii="Rockwell" w:hAnsi="Rockwell"/>
          <w:i w:val="0"/>
          <w:color w:val="auto"/>
          <w:sz w:val="24"/>
          <w:szCs w:val="24"/>
        </w:rPr>
        <w:lastRenderedPageBreak/>
        <w:t>Textes communautaires</w:t>
      </w:r>
      <w:bookmarkEnd w:id="26"/>
    </w:p>
    <w:p w:rsidR="00DD7EAB" w:rsidRPr="0061020E" w:rsidRDefault="00213206" w:rsidP="008F6018">
      <w:pPr>
        <w:spacing w:after="120" w:line="240" w:lineRule="auto"/>
        <w:jc w:val="both"/>
        <w:rPr>
          <w:rFonts w:ascii="Rockwell" w:hAnsi="Rockwell"/>
          <w:sz w:val="24"/>
          <w:szCs w:val="24"/>
        </w:rPr>
      </w:pPr>
      <w:r w:rsidRPr="0061020E">
        <w:rPr>
          <w:rFonts w:ascii="Rockwell" w:hAnsi="Rockwell"/>
          <w:sz w:val="24"/>
          <w:szCs w:val="24"/>
        </w:rPr>
        <w:t>Il s’agit essentiellement</w:t>
      </w:r>
      <w:r w:rsidR="004C35FC">
        <w:rPr>
          <w:rFonts w:ascii="Rockwell" w:hAnsi="Rockwell"/>
          <w:sz w:val="24"/>
          <w:szCs w:val="24"/>
        </w:rPr>
        <w:t>,</w:t>
      </w:r>
      <w:r w:rsidRPr="0061020E">
        <w:rPr>
          <w:rFonts w:ascii="Rockwell" w:hAnsi="Rockwell"/>
          <w:sz w:val="24"/>
          <w:szCs w:val="24"/>
        </w:rPr>
        <w:t xml:space="preserve"> du </w:t>
      </w:r>
      <w:r w:rsidR="00DD7EAB" w:rsidRPr="0061020E">
        <w:rPr>
          <w:rFonts w:ascii="Rockwell" w:hAnsi="Rockwell"/>
          <w:sz w:val="24"/>
          <w:szCs w:val="24"/>
        </w:rPr>
        <w:t>Règlement N° 03/2010/CM/UEMOA portant schéma d’harmonisation des activités d’accréditation, de certification, de normalisatio</w:t>
      </w:r>
      <w:r w:rsidR="003F532B">
        <w:rPr>
          <w:rFonts w:ascii="Rockwell" w:hAnsi="Rockwell"/>
          <w:sz w:val="24"/>
          <w:szCs w:val="24"/>
        </w:rPr>
        <w:t>n et de métrologie dans l’UEMOA.</w:t>
      </w: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Ce dispositif détermine le cadre juridique général des activités d’accréditation, de certification, de normalisation et de métrologie au sein de l’espace UEMOA. Il a pour but</w:t>
      </w:r>
      <w:r w:rsidR="004C35FC">
        <w:rPr>
          <w:rFonts w:ascii="Rockwell" w:hAnsi="Rockwell"/>
          <w:sz w:val="24"/>
          <w:szCs w:val="24"/>
        </w:rPr>
        <w:t>,</w:t>
      </w:r>
      <w:r w:rsidRPr="0061020E">
        <w:rPr>
          <w:rFonts w:ascii="Rockwell" w:hAnsi="Rockwell"/>
          <w:sz w:val="24"/>
          <w:szCs w:val="24"/>
        </w:rPr>
        <w:t xml:space="preserve"> de favoriser l’harmonisation des politiques nationales (reconnaissance mutuelle de </w:t>
      </w:r>
      <w:r w:rsidR="00AB2CD9" w:rsidRPr="0061020E">
        <w:rPr>
          <w:rFonts w:ascii="Rockwell" w:hAnsi="Rockwell"/>
          <w:sz w:val="24"/>
          <w:szCs w:val="24"/>
        </w:rPr>
        <w:t>l</w:t>
      </w:r>
      <w:r w:rsidRPr="0061020E">
        <w:rPr>
          <w:rFonts w:ascii="Rockwell" w:hAnsi="Rockwell"/>
          <w:sz w:val="24"/>
          <w:szCs w:val="24"/>
        </w:rPr>
        <w:t>’évaluation de la conformité, renforcement international de l’évaluation de la conformité).</w:t>
      </w:r>
    </w:p>
    <w:p w:rsidR="00DD7EAB" w:rsidRDefault="00DD7EAB" w:rsidP="008F6018">
      <w:pPr>
        <w:spacing w:after="120" w:line="240" w:lineRule="auto"/>
        <w:jc w:val="both"/>
        <w:rPr>
          <w:rFonts w:ascii="Rockwell" w:hAnsi="Rockwell"/>
          <w:sz w:val="24"/>
          <w:szCs w:val="24"/>
        </w:rPr>
      </w:pPr>
      <w:r w:rsidRPr="0061020E">
        <w:rPr>
          <w:rFonts w:ascii="Rockwell" w:hAnsi="Rockwell"/>
          <w:sz w:val="24"/>
          <w:szCs w:val="24"/>
        </w:rPr>
        <w:t>Il prévoit aussi</w:t>
      </w:r>
      <w:r w:rsidR="004C35FC">
        <w:rPr>
          <w:rFonts w:ascii="Rockwell" w:hAnsi="Rockwell"/>
          <w:sz w:val="24"/>
          <w:szCs w:val="24"/>
        </w:rPr>
        <w:t>,</w:t>
      </w:r>
      <w:r w:rsidRPr="0061020E">
        <w:rPr>
          <w:rFonts w:ascii="Rockwell" w:hAnsi="Rockwell"/>
          <w:sz w:val="24"/>
          <w:szCs w:val="24"/>
        </w:rPr>
        <w:t xml:space="preserve"> la détermination des structures régionales de promotion de la qualité : création, organisation, fonctionnement, missions et attributions.</w:t>
      </w:r>
    </w:p>
    <w:p w:rsidR="00C27000" w:rsidRPr="0061020E" w:rsidRDefault="00C27000" w:rsidP="008F6018">
      <w:pPr>
        <w:spacing w:after="120" w:line="240" w:lineRule="auto"/>
        <w:jc w:val="both"/>
        <w:rPr>
          <w:rFonts w:ascii="Rockwell" w:hAnsi="Rockwell"/>
          <w:sz w:val="24"/>
          <w:szCs w:val="24"/>
        </w:rPr>
      </w:pPr>
    </w:p>
    <w:p w:rsidR="00DD7EAB" w:rsidRPr="001D6226" w:rsidRDefault="00DD7EAB" w:rsidP="008F6018">
      <w:pPr>
        <w:pStyle w:val="Titre4"/>
        <w:numPr>
          <w:ilvl w:val="0"/>
          <w:numId w:val="87"/>
        </w:numPr>
        <w:spacing w:before="0" w:after="120" w:line="240" w:lineRule="auto"/>
        <w:jc w:val="both"/>
        <w:rPr>
          <w:rFonts w:ascii="Rockwell" w:hAnsi="Rockwell"/>
          <w:i w:val="0"/>
          <w:color w:val="auto"/>
          <w:sz w:val="24"/>
          <w:szCs w:val="24"/>
        </w:rPr>
      </w:pPr>
      <w:bookmarkStart w:id="27" w:name="_Toc505063267"/>
      <w:r w:rsidRPr="001D6226">
        <w:rPr>
          <w:rFonts w:ascii="Rockwell" w:hAnsi="Rockwell"/>
          <w:i w:val="0"/>
          <w:color w:val="auto"/>
          <w:sz w:val="24"/>
          <w:szCs w:val="24"/>
        </w:rPr>
        <w:t>Textes nationaux</w:t>
      </w:r>
      <w:bookmarkEnd w:id="27"/>
    </w:p>
    <w:p w:rsidR="00DD7EAB" w:rsidRPr="0061020E" w:rsidRDefault="00DD7EAB" w:rsidP="008F6018">
      <w:pPr>
        <w:pStyle w:val="Paragraphedeliste"/>
        <w:numPr>
          <w:ilvl w:val="0"/>
          <w:numId w:val="74"/>
        </w:numPr>
        <w:spacing w:after="120" w:line="240" w:lineRule="auto"/>
        <w:jc w:val="both"/>
        <w:rPr>
          <w:rFonts w:ascii="Rockwell" w:hAnsi="Rockwell"/>
          <w:b/>
          <w:sz w:val="24"/>
          <w:szCs w:val="24"/>
        </w:rPr>
      </w:pPr>
      <w:r w:rsidRPr="0061020E">
        <w:rPr>
          <w:rFonts w:ascii="Rockwell" w:hAnsi="Rockwell"/>
          <w:b/>
          <w:sz w:val="24"/>
          <w:szCs w:val="24"/>
        </w:rPr>
        <w:t>Textes de portée générale</w:t>
      </w: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La loi n°11-20</w:t>
      </w:r>
      <w:r w:rsidR="00C000AB" w:rsidRPr="0061020E">
        <w:rPr>
          <w:rFonts w:ascii="Rockwell" w:hAnsi="Rockwell"/>
          <w:sz w:val="24"/>
          <w:szCs w:val="24"/>
        </w:rPr>
        <w:t>0</w:t>
      </w:r>
      <w:r w:rsidRPr="0061020E">
        <w:rPr>
          <w:rFonts w:ascii="Rockwell" w:hAnsi="Rockwell"/>
          <w:sz w:val="24"/>
          <w:szCs w:val="24"/>
        </w:rPr>
        <w:t>7/AN du 24 mai 2007 portant institution d’un système national de normalisation, de certification, d’accréditation et de promotion de la qualité au Burkina</w:t>
      </w:r>
      <w:r w:rsidR="00A45CF4">
        <w:rPr>
          <w:rFonts w:ascii="Rockwell" w:hAnsi="Rockwell"/>
          <w:sz w:val="24"/>
          <w:szCs w:val="24"/>
        </w:rPr>
        <w:t>,</w:t>
      </w:r>
      <w:r w:rsidRPr="0061020E">
        <w:rPr>
          <w:rFonts w:ascii="Rockwell" w:hAnsi="Rockwell"/>
          <w:sz w:val="24"/>
          <w:szCs w:val="24"/>
        </w:rPr>
        <w:t xml:space="preserve"> définit les notions de normalisation, de certification, d’accréditation et de promotion de la qualité et institue un </w:t>
      </w:r>
      <w:r w:rsidRPr="0061020E">
        <w:rPr>
          <w:rFonts w:ascii="Rockwell" w:hAnsi="Rockwell"/>
          <w:b/>
          <w:sz w:val="24"/>
          <w:szCs w:val="24"/>
        </w:rPr>
        <w:t xml:space="preserve">Conseil </w:t>
      </w:r>
      <w:r w:rsidR="00D704BA" w:rsidRPr="0061020E">
        <w:rPr>
          <w:rFonts w:ascii="Rockwell" w:hAnsi="Rockwell"/>
          <w:b/>
          <w:sz w:val="24"/>
          <w:szCs w:val="24"/>
        </w:rPr>
        <w:t>supérieur de la qualité</w:t>
      </w:r>
      <w:r w:rsidR="00D704BA" w:rsidRPr="0061020E">
        <w:rPr>
          <w:rFonts w:ascii="Rockwell" w:hAnsi="Rockwell"/>
          <w:sz w:val="24"/>
          <w:szCs w:val="24"/>
        </w:rPr>
        <w:t xml:space="preserve"> </w:t>
      </w:r>
      <w:r w:rsidRPr="0061020E">
        <w:rPr>
          <w:rFonts w:ascii="Rockwell" w:hAnsi="Rockwell"/>
          <w:sz w:val="24"/>
          <w:szCs w:val="24"/>
        </w:rPr>
        <w:t xml:space="preserve">(CSQ). </w:t>
      </w:r>
      <w:r w:rsidR="00704BA1" w:rsidRPr="0061020E">
        <w:rPr>
          <w:rFonts w:ascii="Rockwell" w:hAnsi="Rockwell"/>
          <w:sz w:val="24"/>
          <w:szCs w:val="24"/>
        </w:rPr>
        <w:t>Cependant</w:t>
      </w:r>
      <w:r w:rsidR="00704BA1">
        <w:rPr>
          <w:rFonts w:ascii="Rockwell" w:hAnsi="Rockwell"/>
          <w:sz w:val="24"/>
          <w:szCs w:val="24"/>
        </w:rPr>
        <w:t>,</w:t>
      </w:r>
      <w:r w:rsidR="00492C04" w:rsidRPr="0061020E">
        <w:rPr>
          <w:rFonts w:ascii="Rockwell" w:hAnsi="Rockwell"/>
          <w:sz w:val="24"/>
          <w:szCs w:val="24"/>
        </w:rPr>
        <w:t xml:space="preserve"> </w:t>
      </w:r>
      <w:r w:rsidR="00704BA1">
        <w:rPr>
          <w:rFonts w:ascii="Rockwell" w:hAnsi="Rockwell"/>
          <w:sz w:val="24"/>
          <w:szCs w:val="24"/>
        </w:rPr>
        <w:t>i</w:t>
      </w:r>
      <w:r w:rsidRPr="0061020E">
        <w:rPr>
          <w:rFonts w:ascii="Rockwell" w:hAnsi="Rockwell"/>
          <w:sz w:val="24"/>
          <w:szCs w:val="24"/>
        </w:rPr>
        <w:t>l est à noter que le décret portant création, attribution</w:t>
      </w:r>
      <w:r w:rsidR="00D704BA">
        <w:rPr>
          <w:rFonts w:ascii="Rockwell" w:hAnsi="Rockwell"/>
          <w:sz w:val="24"/>
          <w:szCs w:val="24"/>
        </w:rPr>
        <w:t>s</w:t>
      </w:r>
      <w:r w:rsidRPr="0061020E">
        <w:rPr>
          <w:rFonts w:ascii="Rockwell" w:hAnsi="Rockwell"/>
          <w:sz w:val="24"/>
          <w:szCs w:val="24"/>
        </w:rPr>
        <w:t xml:space="preserve">, composition, organisation et fonctionnement du CSQ n’a pas encore été pris. </w:t>
      </w: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Il y aussi le décret 94-14 du 6 janvier 1994 qui institue un certificat national de conformité dont l’objet est d’attester que les produits destinés à la consommation sont conformes aux exigences de qualité, de poids, de quantité et de conditionnement admises au Burkina Faso. Le certificat national de conformité est délivré par le service de la qualité et de la métrologie</w:t>
      </w:r>
      <w:r w:rsidR="00D704BA">
        <w:rPr>
          <w:rFonts w:ascii="Rockwell" w:hAnsi="Rockwell"/>
          <w:sz w:val="24"/>
          <w:szCs w:val="24"/>
        </w:rPr>
        <w:t>,</w:t>
      </w:r>
      <w:r w:rsidRPr="0061020E">
        <w:rPr>
          <w:rFonts w:ascii="Rockwell" w:hAnsi="Rockwell"/>
          <w:sz w:val="24"/>
          <w:szCs w:val="24"/>
        </w:rPr>
        <w:t xml:space="preserve"> au vu des résultats de l’inspection effectuée par les services habilités à cet effet.</w:t>
      </w:r>
    </w:p>
    <w:p w:rsidR="00DD7EAB" w:rsidRPr="0061020E" w:rsidRDefault="00DD7EAB" w:rsidP="008F6018">
      <w:pPr>
        <w:spacing w:after="120" w:line="240" w:lineRule="auto"/>
        <w:jc w:val="both"/>
        <w:rPr>
          <w:rFonts w:ascii="Rockwell" w:hAnsi="Rockwell"/>
          <w:sz w:val="24"/>
          <w:szCs w:val="24"/>
        </w:rPr>
      </w:pPr>
      <w:r w:rsidRPr="0061020E">
        <w:rPr>
          <w:rFonts w:ascii="Rockwell" w:hAnsi="Rockwell"/>
          <w:sz w:val="24"/>
          <w:szCs w:val="24"/>
        </w:rPr>
        <w:t>Ce décret a fait l’objet de trois arrêtés d’application :</w:t>
      </w:r>
    </w:p>
    <w:p w:rsidR="00DD7EAB" w:rsidRPr="0061020E" w:rsidRDefault="00DD7EAB" w:rsidP="008F6018">
      <w:pPr>
        <w:numPr>
          <w:ilvl w:val="0"/>
          <w:numId w:val="75"/>
        </w:numPr>
        <w:spacing w:after="120" w:line="240" w:lineRule="auto"/>
        <w:ind w:left="0" w:firstLine="709"/>
        <w:jc w:val="both"/>
        <w:rPr>
          <w:rFonts w:ascii="Rockwell" w:hAnsi="Rockwell"/>
          <w:sz w:val="24"/>
          <w:szCs w:val="24"/>
        </w:rPr>
      </w:pPr>
      <w:r w:rsidRPr="0061020E">
        <w:rPr>
          <w:rFonts w:ascii="Rockwell" w:hAnsi="Rockwell"/>
          <w:sz w:val="24"/>
          <w:szCs w:val="24"/>
        </w:rPr>
        <w:t xml:space="preserve">l’arrêté interministériel 95-27 MICM.MEFP du 5 avril 1995 </w:t>
      </w:r>
      <w:r w:rsidR="00704BA1">
        <w:rPr>
          <w:rFonts w:ascii="Rockwell" w:hAnsi="Rockwell"/>
          <w:sz w:val="24"/>
          <w:szCs w:val="24"/>
        </w:rPr>
        <w:t xml:space="preserve">qui </w:t>
      </w:r>
      <w:r w:rsidRPr="0061020E">
        <w:rPr>
          <w:rFonts w:ascii="Rockwell" w:hAnsi="Rockwell"/>
          <w:sz w:val="24"/>
          <w:szCs w:val="24"/>
        </w:rPr>
        <w:t>fixe les modalités d’inspection des produits destinés à l</w:t>
      </w:r>
      <w:r w:rsidR="00A45CF4">
        <w:rPr>
          <w:rFonts w:ascii="Rockwell" w:hAnsi="Rockwell"/>
          <w:sz w:val="24"/>
          <w:szCs w:val="24"/>
        </w:rPr>
        <w:t xml:space="preserve">a consommation au Burkina Faso, </w:t>
      </w:r>
      <w:r w:rsidRPr="0061020E">
        <w:rPr>
          <w:rFonts w:ascii="Rockwell" w:hAnsi="Rockwell"/>
          <w:sz w:val="24"/>
          <w:szCs w:val="24"/>
        </w:rPr>
        <w:t>ainsi que la procédure, le lieu et la sanction de l’inspection. Ce texte a un champ d’application plus étendu (tous produits destinés à la consommation au Burkina) que l’arrêté 2003-007 (contrôle de qualité sanitaire des aliments et produits assimilés). Les deux textes ne s’excluent pas, mais se complètent.</w:t>
      </w:r>
    </w:p>
    <w:p w:rsidR="00DD7EAB" w:rsidRPr="0061020E" w:rsidRDefault="00DD7EAB" w:rsidP="008F6018">
      <w:pPr>
        <w:numPr>
          <w:ilvl w:val="0"/>
          <w:numId w:val="75"/>
        </w:numPr>
        <w:spacing w:after="120" w:line="240" w:lineRule="auto"/>
        <w:ind w:left="0" w:firstLine="709"/>
        <w:jc w:val="both"/>
        <w:rPr>
          <w:rFonts w:ascii="Rockwell" w:hAnsi="Rockwell"/>
          <w:sz w:val="24"/>
          <w:szCs w:val="24"/>
        </w:rPr>
      </w:pPr>
      <w:r w:rsidRPr="0061020E">
        <w:rPr>
          <w:rFonts w:ascii="Rockwell" w:hAnsi="Rockwell"/>
          <w:sz w:val="24"/>
          <w:szCs w:val="24"/>
        </w:rPr>
        <w:t>l’arrêté conjoint n°2003-007/MS/MFB/MAHRH/MCPEA qui fixe les modalités de contrôle de la qualité sanitaire des produits alimentaires et assimilés.</w:t>
      </w:r>
    </w:p>
    <w:p w:rsidR="00DD7EAB" w:rsidRPr="0061020E" w:rsidRDefault="001D6226" w:rsidP="008F6018">
      <w:pPr>
        <w:numPr>
          <w:ilvl w:val="0"/>
          <w:numId w:val="75"/>
        </w:numPr>
        <w:spacing w:after="120" w:line="240" w:lineRule="auto"/>
        <w:ind w:left="0" w:firstLine="709"/>
        <w:jc w:val="both"/>
        <w:rPr>
          <w:rFonts w:ascii="Rockwell" w:hAnsi="Rockwell"/>
          <w:sz w:val="24"/>
          <w:szCs w:val="24"/>
        </w:rPr>
      </w:pPr>
      <w:r>
        <w:rPr>
          <w:rFonts w:ascii="Rockwell" w:hAnsi="Rockwell"/>
          <w:sz w:val="24"/>
          <w:szCs w:val="24"/>
        </w:rPr>
        <w:t>l’arrêté conjoint n°08.008</w:t>
      </w:r>
      <w:r w:rsidR="00DD7EAB" w:rsidRPr="0061020E">
        <w:rPr>
          <w:rFonts w:ascii="Rockwell" w:hAnsi="Rockwell"/>
          <w:sz w:val="24"/>
          <w:szCs w:val="24"/>
        </w:rPr>
        <w:t>/MS/MCPEA/MEF qui détermine la liste des produits soumis au certificat national de conformité et au certificat de qualité sanitaire. Ce texte répartit aussi</w:t>
      </w:r>
      <w:r w:rsidR="00D704BA">
        <w:rPr>
          <w:rFonts w:ascii="Rockwell" w:hAnsi="Rockwell"/>
          <w:sz w:val="24"/>
          <w:szCs w:val="24"/>
        </w:rPr>
        <w:t>,</w:t>
      </w:r>
      <w:r w:rsidR="00DD7EAB" w:rsidRPr="0061020E">
        <w:rPr>
          <w:rFonts w:ascii="Rockwell" w:hAnsi="Rockwell"/>
          <w:sz w:val="24"/>
          <w:szCs w:val="24"/>
        </w:rPr>
        <w:t xml:space="preserve"> les attributions de l’Inspection de la </w:t>
      </w:r>
      <w:r w:rsidR="00D704BA" w:rsidRPr="0061020E">
        <w:rPr>
          <w:rFonts w:ascii="Rockwell" w:hAnsi="Rockwell"/>
          <w:sz w:val="24"/>
          <w:szCs w:val="24"/>
        </w:rPr>
        <w:t>q</w:t>
      </w:r>
      <w:r w:rsidR="00DD7EAB" w:rsidRPr="0061020E">
        <w:rPr>
          <w:rFonts w:ascii="Rockwell" w:hAnsi="Rockwell"/>
          <w:sz w:val="24"/>
          <w:szCs w:val="24"/>
        </w:rPr>
        <w:t xml:space="preserve">ualité et de la </w:t>
      </w:r>
      <w:r w:rsidR="00D704BA" w:rsidRPr="0061020E">
        <w:rPr>
          <w:rFonts w:ascii="Rockwell" w:hAnsi="Rockwell"/>
          <w:sz w:val="24"/>
          <w:szCs w:val="24"/>
        </w:rPr>
        <w:t>m</w:t>
      </w:r>
      <w:r w:rsidR="00DD7EAB" w:rsidRPr="0061020E">
        <w:rPr>
          <w:rFonts w:ascii="Rockwell" w:hAnsi="Rockwell"/>
          <w:sz w:val="24"/>
          <w:szCs w:val="24"/>
        </w:rPr>
        <w:t xml:space="preserve">étrologie (IQM) qui délivre le certificat national de conformité et du Laboratoire </w:t>
      </w:r>
      <w:r w:rsidR="00D704BA" w:rsidRPr="0061020E">
        <w:rPr>
          <w:rFonts w:ascii="Rockwell" w:hAnsi="Rockwell"/>
          <w:sz w:val="24"/>
          <w:szCs w:val="24"/>
        </w:rPr>
        <w:t>n</w:t>
      </w:r>
      <w:r w:rsidR="00DD7EAB" w:rsidRPr="0061020E">
        <w:rPr>
          <w:rFonts w:ascii="Rockwell" w:hAnsi="Rockwell"/>
          <w:sz w:val="24"/>
          <w:szCs w:val="24"/>
        </w:rPr>
        <w:t xml:space="preserve">ational de </w:t>
      </w:r>
      <w:r w:rsidR="00D704BA" w:rsidRPr="0061020E">
        <w:rPr>
          <w:rFonts w:ascii="Rockwell" w:hAnsi="Rockwell"/>
          <w:sz w:val="24"/>
          <w:szCs w:val="24"/>
        </w:rPr>
        <w:t>s</w:t>
      </w:r>
      <w:r w:rsidR="00DD7EAB" w:rsidRPr="0061020E">
        <w:rPr>
          <w:rFonts w:ascii="Rockwell" w:hAnsi="Rockwell"/>
          <w:sz w:val="24"/>
          <w:szCs w:val="24"/>
        </w:rPr>
        <w:t xml:space="preserve">anté </w:t>
      </w:r>
      <w:r w:rsidR="00D704BA" w:rsidRPr="0061020E">
        <w:rPr>
          <w:rFonts w:ascii="Rockwell" w:hAnsi="Rockwell"/>
          <w:sz w:val="24"/>
          <w:szCs w:val="24"/>
        </w:rPr>
        <w:t>p</w:t>
      </w:r>
      <w:r w:rsidR="00DD7EAB" w:rsidRPr="0061020E">
        <w:rPr>
          <w:rFonts w:ascii="Rockwell" w:hAnsi="Rockwell"/>
          <w:sz w:val="24"/>
          <w:szCs w:val="24"/>
        </w:rPr>
        <w:t xml:space="preserve">ublique (LNSP) qui délivre le certificat de qualité sanitaire. Ces certificats concernent les produits importés comme les productions nationales. </w:t>
      </w:r>
    </w:p>
    <w:p w:rsidR="00213206" w:rsidRPr="0061020E" w:rsidRDefault="00213206" w:rsidP="008F6018">
      <w:pPr>
        <w:spacing w:after="120" w:line="240" w:lineRule="auto"/>
        <w:jc w:val="both"/>
        <w:rPr>
          <w:rFonts w:ascii="Rockwell" w:hAnsi="Rockwell" w:cs="Estrangelo Edessa"/>
          <w:sz w:val="24"/>
          <w:szCs w:val="24"/>
        </w:rPr>
      </w:pPr>
    </w:p>
    <w:p w:rsidR="00213206" w:rsidRPr="0061020E" w:rsidRDefault="00715694" w:rsidP="008F6018">
      <w:pPr>
        <w:pStyle w:val="Paragraphedeliste"/>
        <w:numPr>
          <w:ilvl w:val="0"/>
          <w:numId w:val="74"/>
        </w:numPr>
        <w:spacing w:after="120" w:line="240" w:lineRule="auto"/>
        <w:jc w:val="both"/>
        <w:rPr>
          <w:rFonts w:ascii="Rockwell" w:hAnsi="Rockwell"/>
          <w:b/>
          <w:sz w:val="24"/>
          <w:szCs w:val="24"/>
        </w:rPr>
      </w:pPr>
      <w:r w:rsidRPr="0061020E">
        <w:rPr>
          <w:rFonts w:ascii="Rockwell" w:hAnsi="Rockwell"/>
          <w:b/>
          <w:sz w:val="24"/>
          <w:szCs w:val="24"/>
        </w:rPr>
        <w:t>Texte de portée spécifique</w:t>
      </w:r>
    </w:p>
    <w:p w:rsidR="005A1447" w:rsidRPr="0061020E" w:rsidRDefault="005F0DC0" w:rsidP="008F6018">
      <w:pPr>
        <w:spacing w:after="120" w:line="240" w:lineRule="auto"/>
        <w:jc w:val="both"/>
        <w:rPr>
          <w:rFonts w:ascii="Rockwell" w:hAnsi="Rockwell"/>
          <w:sz w:val="24"/>
          <w:szCs w:val="24"/>
        </w:rPr>
      </w:pPr>
      <w:r w:rsidRPr="0061020E">
        <w:rPr>
          <w:rFonts w:ascii="Rockwell" w:hAnsi="Rockwell"/>
          <w:sz w:val="24"/>
          <w:szCs w:val="24"/>
        </w:rPr>
        <w:t xml:space="preserve">Au Burkina Faso, dans le cadre des marchés </w:t>
      </w:r>
      <w:r w:rsidR="0005702C" w:rsidRPr="0061020E">
        <w:rPr>
          <w:rFonts w:ascii="Rockwell" w:hAnsi="Rockwell"/>
          <w:sz w:val="24"/>
          <w:szCs w:val="24"/>
        </w:rPr>
        <w:t>publics</w:t>
      </w:r>
      <w:r w:rsidRPr="0061020E">
        <w:rPr>
          <w:rFonts w:ascii="Rockwell" w:hAnsi="Rockwell"/>
          <w:sz w:val="24"/>
          <w:szCs w:val="24"/>
        </w:rPr>
        <w:t xml:space="preserve">, il a été institué un certificat de </w:t>
      </w:r>
      <w:r w:rsidR="0005702C" w:rsidRPr="0061020E">
        <w:rPr>
          <w:rFonts w:ascii="Rockwell" w:hAnsi="Rockwell"/>
          <w:sz w:val="24"/>
          <w:szCs w:val="24"/>
        </w:rPr>
        <w:t>contrôle</w:t>
      </w:r>
      <w:r w:rsidRPr="0061020E">
        <w:rPr>
          <w:rFonts w:ascii="Rockwell" w:hAnsi="Rockwell"/>
          <w:sz w:val="24"/>
          <w:szCs w:val="24"/>
        </w:rPr>
        <w:t xml:space="preserve"> de la qualité des produits. Il </w:t>
      </w:r>
      <w:r w:rsidR="0005702C" w:rsidRPr="0061020E">
        <w:rPr>
          <w:rFonts w:ascii="Rockwell" w:hAnsi="Rockwell"/>
          <w:sz w:val="24"/>
          <w:szCs w:val="24"/>
        </w:rPr>
        <w:t>s’agit</w:t>
      </w:r>
      <w:r w:rsidRPr="0061020E">
        <w:rPr>
          <w:rFonts w:ascii="Rockwell" w:hAnsi="Rockwell"/>
          <w:sz w:val="24"/>
          <w:szCs w:val="24"/>
        </w:rPr>
        <w:t xml:space="preserve"> </w:t>
      </w:r>
      <w:r w:rsidR="0005702C" w:rsidRPr="0061020E">
        <w:rPr>
          <w:rFonts w:ascii="Rockwell" w:hAnsi="Rockwell"/>
          <w:sz w:val="24"/>
          <w:szCs w:val="24"/>
        </w:rPr>
        <w:t>précisément</w:t>
      </w:r>
      <w:r w:rsidR="00A45CF4">
        <w:rPr>
          <w:rFonts w:ascii="Rockwell" w:hAnsi="Rockwell"/>
          <w:sz w:val="24"/>
          <w:szCs w:val="24"/>
        </w:rPr>
        <w:t>,</w:t>
      </w:r>
      <w:r w:rsidRPr="0061020E">
        <w:rPr>
          <w:rFonts w:ascii="Rockwell" w:hAnsi="Rockwell"/>
          <w:sz w:val="24"/>
          <w:szCs w:val="24"/>
        </w:rPr>
        <w:t xml:space="preserve"> de l’Arrêté conjoint </w:t>
      </w:r>
      <w:r w:rsidR="0005702C" w:rsidRPr="0061020E">
        <w:rPr>
          <w:rFonts w:ascii="Rockwell" w:hAnsi="Rockwell"/>
          <w:sz w:val="24"/>
          <w:szCs w:val="24"/>
        </w:rPr>
        <w:t>2012-79/MEF/MS du 24 février 2012 portant institution d’un certificat de contrôle de la qualité des produits</w:t>
      </w:r>
      <w:r w:rsidR="00A45CF4">
        <w:rPr>
          <w:rFonts w:ascii="Rockwell" w:hAnsi="Rockwell"/>
          <w:sz w:val="24"/>
          <w:szCs w:val="24"/>
        </w:rPr>
        <w:t>,</w:t>
      </w:r>
      <w:r w:rsidR="0005702C" w:rsidRPr="0061020E">
        <w:rPr>
          <w:rFonts w:ascii="Rockwell" w:hAnsi="Rockwell"/>
          <w:sz w:val="24"/>
          <w:szCs w:val="24"/>
        </w:rPr>
        <w:t xml:space="preserve"> objet de marchés publics. </w:t>
      </w:r>
    </w:p>
    <w:p w:rsidR="00B411E7" w:rsidRPr="0061020E" w:rsidRDefault="005155A5" w:rsidP="008F6018">
      <w:pPr>
        <w:spacing w:after="120" w:line="240" w:lineRule="auto"/>
        <w:jc w:val="both"/>
        <w:rPr>
          <w:rFonts w:ascii="Rockwell" w:hAnsi="Rockwell"/>
          <w:sz w:val="24"/>
          <w:szCs w:val="24"/>
        </w:rPr>
      </w:pPr>
      <w:r w:rsidRPr="0061020E">
        <w:rPr>
          <w:rFonts w:ascii="Rockwell" w:hAnsi="Rockwell"/>
          <w:sz w:val="24"/>
          <w:szCs w:val="24"/>
        </w:rPr>
        <w:lastRenderedPageBreak/>
        <w:t>Cet</w:t>
      </w:r>
      <w:r w:rsidR="00B411E7" w:rsidRPr="0061020E">
        <w:rPr>
          <w:rFonts w:ascii="Rockwell" w:hAnsi="Rockwell"/>
          <w:sz w:val="24"/>
          <w:szCs w:val="24"/>
        </w:rPr>
        <w:t xml:space="preserve"> arrêté institue, en son article 1</w:t>
      </w:r>
      <w:r w:rsidR="00B411E7" w:rsidRPr="0061020E">
        <w:rPr>
          <w:rFonts w:ascii="Rockwell" w:hAnsi="Rockwell"/>
          <w:sz w:val="24"/>
          <w:szCs w:val="24"/>
          <w:vertAlign w:val="superscript"/>
        </w:rPr>
        <w:t>er</w:t>
      </w:r>
      <w:r w:rsidR="00A45CF4">
        <w:rPr>
          <w:rFonts w:ascii="Rockwell" w:hAnsi="Rockwell"/>
          <w:sz w:val="24"/>
          <w:szCs w:val="24"/>
        </w:rPr>
        <w:t>,</w:t>
      </w:r>
      <w:r w:rsidR="00B411E7" w:rsidRPr="0061020E">
        <w:rPr>
          <w:rFonts w:ascii="Rockwell" w:hAnsi="Rockwell"/>
          <w:sz w:val="24"/>
          <w:szCs w:val="24"/>
        </w:rPr>
        <w:t xml:space="preserve"> un certificat délivré par le </w:t>
      </w:r>
      <w:r w:rsidR="00A45CF4">
        <w:rPr>
          <w:rFonts w:ascii="Rockwell" w:hAnsi="Rockwell"/>
          <w:sz w:val="24"/>
          <w:szCs w:val="24"/>
        </w:rPr>
        <w:t>L</w:t>
      </w:r>
      <w:r w:rsidR="00B411E7" w:rsidRPr="0061020E">
        <w:rPr>
          <w:rFonts w:ascii="Rockwell" w:hAnsi="Rockwell"/>
          <w:sz w:val="24"/>
          <w:szCs w:val="24"/>
        </w:rPr>
        <w:t xml:space="preserve">aboratoire national de santé publique (LNSP) comme </w:t>
      </w:r>
      <w:r w:rsidRPr="0061020E">
        <w:rPr>
          <w:rFonts w:ascii="Rockwell" w:hAnsi="Rockwell"/>
          <w:sz w:val="24"/>
          <w:szCs w:val="24"/>
        </w:rPr>
        <w:t>pièce</w:t>
      </w:r>
      <w:r w:rsidR="00B411E7" w:rsidRPr="0061020E">
        <w:rPr>
          <w:rFonts w:ascii="Rockwell" w:hAnsi="Rockwell"/>
          <w:sz w:val="24"/>
          <w:szCs w:val="24"/>
        </w:rPr>
        <w:t xml:space="preserve"> </w:t>
      </w:r>
      <w:r w:rsidRPr="0061020E">
        <w:rPr>
          <w:rFonts w:ascii="Rockwell" w:hAnsi="Rockwell"/>
          <w:sz w:val="24"/>
          <w:szCs w:val="24"/>
        </w:rPr>
        <w:t>requise</w:t>
      </w:r>
      <w:r w:rsidR="00B411E7" w:rsidRPr="0061020E">
        <w:rPr>
          <w:rFonts w:ascii="Rockwell" w:hAnsi="Rockwell"/>
          <w:sz w:val="24"/>
          <w:szCs w:val="24"/>
        </w:rPr>
        <w:t xml:space="preserve"> aux travaux des commissions de </w:t>
      </w:r>
      <w:r w:rsidR="00492C04" w:rsidRPr="0061020E">
        <w:rPr>
          <w:rFonts w:ascii="Rockwell" w:hAnsi="Rockwell"/>
          <w:sz w:val="24"/>
          <w:szCs w:val="24"/>
        </w:rPr>
        <w:t>réception</w:t>
      </w:r>
      <w:r w:rsidR="00B411E7" w:rsidRPr="0061020E">
        <w:rPr>
          <w:rFonts w:ascii="Rockwell" w:hAnsi="Rockwell"/>
          <w:sz w:val="24"/>
          <w:szCs w:val="24"/>
        </w:rPr>
        <w:t xml:space="preserve"> des marchés publics.</w:t>
      </w:r>
      <w:r w:rsidR="005A1447" w:rsidRPr="0061020E">
        <w:rPr>
          <w:rFonts w:ascii="Rockwell" w:hAnsi="Rockwell"/>
          <w:sz w:val="24"/>
          <w:szCs w:val="24"/>
        </w:rPr>
        <w:t xml:space="preserve"> Il précise en outre</w:t>
      </w:r>
      <w:r w:rsidR="00AB685A">
        <w:rPr>
          <w:rFonts w:ascii="Rockwell" w:hAnsi="Rockwell"/>
          <w:sz w:val="24"/>
          <w:szCs w:val="24"/>
        </w:rPr>
        <w:t>,</w:t>
      </w:r>
      <w:r w:rsidR="005A1447" w:rsidRPr="0061020E">
        <w:rPr>
          <w:rFonts w:ascii="Rockwell" w:hAnsi="Rockwell"/>
          <w:sz w:val="24"/>
          <w:szCs w:val="24"/>
        </w:rPr>
        <w:t xml:space="preserve"> que le certificat de contrôle doit </w:t>
      </w:r>
      <w:r w:rsidR="00492C04" w:rsidRPr="0061020E">
        <w:rPr>
          <w:rFonts w:ascii="Rockwell" w:hAnsi="Rockwell"/>
          <w:sz w:val="24"/>
          <w:szCs w:val="24"/>
        </w:rPr>
        <w:t>être</w:t>
      </w:r>
      <w:r w:rsidR="005A1447" w:rsidRPr="0061020E">
        <w:rPr>
          <w:rFonts w:ascii="Rockwell" w:hAnsi="Rockwell"/>
          <w:sz w:val="24"/>
          <w:szCs w:val="24"/>
        </w:rPr>
        <w:t xml:space="preserve"> annexé au </w:t>
      </w:r>
      <w:r w:rsidRPr="0061020E">
        <w:rPr>
          <w:rFonts w:ascii="Rockwell" w:hAnsi="Rockwell"/>
          <w:sz w:val="24"/>
          <w:szCs w:val="24"/>
        </w:rPr>
        <w:t>procès-verbal</w:t>
      </w:r>
      <w:r w:rsidR="005A1447" w:rsidRPr="0061020E">
        <w:rPr>
          <w:rFonts w:ascii="Rockwell" w:hAnsi="Rockwell"/>
          <w:sz w:val="24"/>
          <w:szCs w:val="24"/>
        </w:rPr>
        <w:t xml:space="preserve"> de réception.</w:t>
      </w:r>
    </w:p>
    <w:p w:rsidR="005155A5" w:rsidRPr="0061020E" w:rsidRDefault="005A1447" w:rsidP="008F6018">
      <w:pPr>
        <w:spacing w:after="120" w:line="240" w:lineRule="auto"/>
        <w:jc w:val="both"/>
        <w:rPr>
          <w:rFonts w:ascii="Rockwell" w:hAnsi="Rockwell"/>
          <w:sz w:val="24"/>
          <w:szCs w:val="24"/>
        </w:rPr>
      </w:pPr>
      <w:r w:rsidRPr="0061020E">
        <w:rPr>
          <w:rFonts w:ascii="Rockwell" w:hAnsi="Rockwell"/>
          <w:sz w:val="24"/>
          <w:szCs w:val="24"/>
        </w:rPr>
        <w:t>L’article 2 précise la nature des produits concernés par l’</w:t>
      </w:r>
      <w:r w:rsidR="00AB685A">
        <w:rPr>
          <w:rFonts w:ascii="Rockwell" w:hAnsi="Rockwell"/>
          <w:sz w:val="24"/>
          <w:szCs w:val="24"/>
        </w:rPr>
        <w:t>a</w:t>
      </w:r>
      <w:r w:rsidRPr="0061020E">
        <w:rPr>
          <w:rFonts w:ascii="Rockwell" w:hAnsi="Rockwell"/>
          <w:sz w:val="24"/>
          <w:szCs w:val="24"/>
        </w:rPr>
        <w:t>rrêté. Il</w:t>
      </w:r>
      <w:r w:rsidR="00AB685A">
        <w:rPr>
          <w:rFonts w:ascii="Rockwell" w:hAnsi="Rockwell"/>
          <w:sz w:val="24"/>
          <w:szCs w:val="24"/>
        </w:rPr>
        <w:t xml:space="preserve"> s’agit notamment, </w:t>
      </w:r>
      <w:r w:rsidRPr="0061020E">
        <w:rPr>
          <w:rFonts w:ascii="Rockwell" w:hAnsi="Rockwell"/>
          <w:sz w:val="24"/>
          <w:szCs w:val="24"/>
        </w:rPr>
        <w:t>des produits alimentaires, pesticides, cosmétiques, des médicaments, des préservatifs, des consommables médicaux importés ou de production locale.</w:t>
      </w:r>
      <w:r w:rsidR="00492C04" w:rsidRPr="0061020E">
        <w:rPr>
          <w:rFonts w:ascii="Rockwell" w:hAnsi="Rockwell"/>
          <w:sz w:val="24"/>
          <w:szCs w:val="24"/>
        </w:rPr>
        <w:t xml:space="preserve"> </w:t>
      </w:r>
      <w:r w:rsidR="005155A5" w:rsidRPr="0061020E">
        <w:rPr>
          <w:rFonts w:ascii="Rockwell" w:hAnsi="Rockwell"/>
          <w:sz w:val="24"/>
          <w:szCs w:val="24"/>
        </w:rPr>
        <w:t>Le certificat est exigé dans le cadre</w:t>
      </w:r>
      <w:r w:rsidR="003152D8" w:rsidRPr="0061020E">
        <w:rPr>
          <w:rFonts w:ascii="Rockwell" w:hAnsi="Rockwell"/>
          <w:sz w:val="24"/>
          <w:szCs w:val="24"/>
        </w:rPr>
        <w:t xml:space="preserve"> de l’approvisionnement des structures dont les services sont destinés au public.</w:t>
      </w:r>
    </w:p>
    <w:p w:rsidR="003152D8" w:rsidRPr="0061020E" w:rsidRDefault="001D6226" w:rsidP="008F6018">
      <w:pPr>
        <w:spacing w:after="120" w:line="240" w:lineRule="auto"/>
        <w:jc w:val="both"/>
        <w:rPr>
          <w:rFonts w:ascii="Rockwell" w:hAnsi="Rockwell"/>
          <w:sz w:val="24"/>
          <w:szCs w:val="24"/>
        </w:rPr>
      </w:pPr>
      <w:r>
        <w:rPr>
          <w:rFonts w:ascii="Rockwell" w:hAnsi="Rockwell"/>
          <w:sz w:val="24"/>
          <w:szCs w:val="24"/>
        </w:rPr>
        <w:t>L’article 3 de l’a</w:t>
      </w:r>
      <w:r w:rsidR="003152D8" w:rsidRPr="0061020E">
        <w:rPr>
          <w:rFonts w:ascii="Rockwell" w:hAnsi="Rockwell"/>
          <w:sz w:val="24"/>
          <w:szCs w:val="24"/>
        </w:rPr>
        <w:t>rrêté interpelle tout attributaire d’un marché public portant sur les produits visés à justifier de la qualité de ses produits par la production dudit certificat.</w:t>
      </w:r>
    </w:p>
    <w:p w:rsidR="003152D8" w:rsidRPr="0061020E" w:rsidRDefault="003152D8" w:rsidP="008F6018">
      <w:pPr>
        <w:spacing w:after="120" w:line="240" w:lineRule="auto"/>
        <w:jc w:val="both"/>
        <w:rPr>
          <w:rFonts w:ascii="Rockwell" w:hAnsi="Rockwell"/>
          <w:sz w:val="24"/>
          <w:szCs w:val="24"/>
        </w:rPr>
      </w:pPr>
      <w:r w:rsidRPr="0061020E">
        <w:rPr>
          <w:rFonts w:ascii="Rockwell" w:hAnsi="Rockwell"/>
          <w:sz w:val="24"/>
          <w:szCs w:val="24"/>
        </w:rPr>
        <w:t>Les normes appliquées pour la délivrance du certificat de contrôle sont celles en v</w:t>
      </w:r>
      <w:r w:rsidR="00492C04" w:rsidRPr="0061020E">
        <w:rPr>
          <w:rFonts w:ascii="Rockwell" w:hAnsi="Rockwell"/>
          <w:sz w:val="24"/>
          <w:szCs w:val="24"/>
        </w:rPr>
        <w:t>i</w:t>
      </w:r>
      <w:r w:rsidRPr="0061020E">
        <w:rPr>
          <w:rFonts w:ascii="Rockwell" w:hAnsi="Rockwell"/>
          <w:sz w:val="24"/>
          <w:szCs w:val="24"/>
        </w:rPr>
        <w:t>gue</w:t>
      </w:r>
      <w:r w:rsidR="00492C04" w:rsidRPr="0061020E">
        <w:rPr>
          <w:rFonts w:ascii="Rockwell" w:hAnsi="Rockwell"/>
          <w:sz w:val="24"/>
          <w:szCs w:val="24"/>
        </w:rPr>
        <w:t>u</w:t>
      </w:r>
      <w:r w:rsidRPr="0061020E">
        <w:rPr>
          <w:rFonts w:ascii="Rockwell" w:hAnsi="Rockwell"/>
          <w:sz w:val="24"/>
          <w:szCs w:val="24"/>
        </w:rPr>
        <w:t>r au Burkina Faso.</w:t>
      </w:r>
    </w:p>
    <w:p w:rsidR="003152D8" w:rsidRDefault="003152D8"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rsidP="008F6018">
      <w:pPr>
        <w:spacing w:after="120" w:line="240" w:lineRule="auto"/>
        <w:jc w:val="both"/>
        <w:rPr>
          <w:rFonts w:ascii="Rockwell" w:hAnsi="Rockwell"/>
          <w:sz w:val="24"/>
          <w:szCs w:val="24"/>
        </w:rPr>
      </w:pPr>
    </w:p>
    <w:p w:rsidR="00F3614D" w:rsidRDefault="00F3614D">
      <w:pPr>
        <w:rPr>
          <w:rFonts w:ascii="Rockwell" w:hAnsi="Rockwell"/>
          <w:sz w:val="24"/>
          <w:szCs w:val="24"/>
        </w:rPr>
      </w:pPr>
      <w:r>
        <w:rPr>
          <w:rFonts w:ascii="Rockwell" w:hAnsi="Rockwell"/>
          <w:sz w:val="24"/>
          <w:szCs w:val="24"/>
        </w:rPr>
        <w:br w:type="page"/>
      </w:r>
    </w:p>
    <w:p w:rsidR="00452B30" w:rsidRPr="0061020E" w:rsidRDefault="00844FE3" w:rsidP="008F6018">
      <w:pPr>
        <w:pStyle w:val="Titre1"/>
        <w:spacing w:after="120"/>
        <w:jc w:val="both"/>
        <w:rPr>
          <w:rFonts w:ascii="Rockwell" w:hAnsi="Rockwell"/>
          <w:b w:val="0"/>
        </w:rPr>
      </w:pPr>
      <w:bookmarkStart w:id="28" w:name="_Toc503784920"/>
      <w:bookmarkStart w:id="29" w:name="_Toc505063268"/>
      <w:r>
        <w:rPr>
          <w:rFonts w:ascii="Rockwell" w:hAnsi="Rockwell"/>
        </w:rPr>
        <w:lastRenderedPageBreak/>
        <w:t>IIème PARTIE</w:t>
      </w:r>
      <w:r w:rsidR="00452B30" w:rsidRPr="0061020E">
        <w:rPr>
          <w:rFonts w:ascii="Rockwell" w:hAnsi="Rockwell"/>
        </w:rPr>
        <w:t xml:space="preserve"> - CONSEILS PRATIQUES A L'ACHETEUR PUBLIC</w:t>
      </w:r>
      <w:bookmarkEnd w:id="28"/>
      <w:bookmarkEnd w:id="29"/>
    </w:p>
    <w:p w:rsidR="00FA02CB" w:rsidRPr="0061020E" w:rsidRDefault="00FA02CB" w:rsidP="008F6018">
      <w:pPr>
        <w:spacing w:after="120" w:line="240" w:lineRule="auto"/>
        <w:jc w:val="both"/>
        <w:outlineLvl w:val="0"/>
        <w:rPr>
          <w:rFonts w:ascii="Rockwell" w:hAnsi="Rockwell"/>
          <w:b/>
          <w:sz w:val="24"/>
          <w:szCs w:val="24"/>
        </w:rPr>
      </w:pPr>
    </w:p>
    <w:p w:rsidR="00AF0702" w:rsidRPr="001D6226" w:rsidRDefault="00AF0702" w:rsidP="008F6018">
      <w:pPr>
        <w:pStyle w:val="Titre2"/>
        <w:numPr>
          <w:ilvl w:val="0"/>
          <w:numId w:val="88"/>
        </w:numPr>
        <w:spacing w:before="0" w:after="120" w:line="240" w:lineRule="auto"/>
        <w:jc w:val="both"/>
        <w:rPr>
          <w:rFonts w:ascii="Rockwell" w:hAnsi="Rockwell"/>
          <w:color w:val="auto"/>
          <w:sz w:val="24"/>
          <w:szCs w:val="24"/>
        </w:rPr>
      </w:pPr>
      <w:bookmarkStart w:id="30" w:name="_Toc503784921"/>
      <w:bookmarkStart w:id="31" w:name="_Toc505063269"/>
      <w:r w:rsidRPr="001D6226">
        <w:rPr>
          <w:rFonts w:ascii="Rockwell" w:hAnsi="Rockwell"/>
          <w:color w:val="auto"/>
          <w:sz w:val="24"/>
          <w:szCs w:val="24"/>
        </w:rPr>
        <w:t>Introduction</w:t>
      </w:r>
      <w:bookmarkEnd w:id="30"/>
      <w:bookmarkEnd w:id="31"/>
    </w:p>
    <w:p w:rsidR="00B714FE" w:rsidRPr="0061020E" w:rsidRDefault="003D63F9" w:rsidP="008F6018">
      <w:pPr>
        <w:spacing w:after="120" w:line="240" w:lineRule="auto"/>
        <w:jc w:val="both"/>
        <w:rPr>
          <w:rFonts w:ascii="Rockwell" w:hAnsi="Rockwell"/>
          <w:sz w:val="24"/>
          <w:szCs w:val="24"/>
        </w:rPr>
      </w:pPr>
      <w:r w:rsidRPr="0061020E">
        <w:rPr>
          <w:rFonts w:ascii="Rockwell" w:hAnsi="Rockwell"/>
          <w:sz w:val="24"/>
          <w:szCs w:val="24"/>
        </w:rPr>
        <w:t>L'achat de biens et services au Burkina Faso</w:t>
      </w:r>
      <w:r w:rsidR="00B42BFF">
        <w:rPr>
          <w:rFonts w:ascii="Rockwell" w:hAnsi="Rockwell"/>
          <w:sz w:val="24"/>
          <w:szCs w:val="24"/>
        </w:rPr>
        <w:t>,</w:t>
      </w:r>
      <w:r w:rsidRPr="0061020E">
        <w:rPr>
          <w:rFonts w:ascii="Rockwell" w:hAnsi="Rockwell"/>
          <w:sz w:val="24"/>
          <w:szCs w:val="24"/>
        </w:rPr>
        <w:t xml:space="preserve"> est </w:t>
      </w:r>
      <w:r w:rsidR="0066435F" w:rsidRPr="0061020E">
        <w:rPr>
          <w:rFonts w:ascii="Rockwell" w:hAnsi="Rockwell"/>
          <w:sz w:val="24"/>
          <w:szCs w:val="24"/>
        </w:rPr>
        <w:t xml:space="preserve">toujours </w:t>
      </w:r>
      <w:r w:rsidRPr="0061020E">
        <w:rPr>
          <w:rFonts w:ascii="Rockwell" w:hAnsi="Rockwell"/>
          <w:sz w:val="24"/>
          <w:szCs w:val="24"/>
        </w:rPr>
        <w:t>confronté à de nombreuses difficultés</w:t>
      </w:r>
      <w:r w:rsidR="00AB7B50">
        <w:rPr>
          <w:rFonts w:ascii="Rockwell" w:hAnsi="Rockwell"/>
          <w:sz w:val="24"/>
          <w:szCs w:val="24"/>
        </w:rPr>
        <w:t>,</w:t>
      </w:r>
      <w:r w:rsidRPr="0061020E">
        <w:rPr>
          <w:rFonts w:ascii="Rockwell" w:hAnsi="Rockwell"/>
          <w:sz w:val="24"/>
          <w:szCs w:val="24"/>
        </w:rPr>
        <w:t xml:space="preserve"> malgré les effort</w:t>
      </w:r>
      <w:r w:rsidR="00823FC9" w:rsidRPr="0061020E">
        <w:rPr>
          <w:rFonts w:ascii="Rockwell" w:hAnsi="Rockwell"/>
          <w:sz w:val="24"/>
          <w:szCs w:val="24"/>
        </w:rPr>
        <w:t>s considérables</w:t>
      </w:r>
      <w:r w:rsidRPr="0061020E">
        <w:rPr>
          <w:rFonts w:ascii="Rockwell" w:hAnsi="Rockwell"/>
          <w:sz w:val="24"/>
          <w:szCs w:val="24"/>
        </w:rPr>
        <w:t xml:space="preserve"> de réglementation par les autorités. </w:t>
      </w:r>
      <w:r w:rsidR="006C2BAB" w:rsidRPr="0061020E">
        <w:rPr>
          <w:rFonts w:ascii="Rockwell" w:hAnsi="Rockwell"/>
          <w:sz w:val="24"/>
          <w:szCs w:val="24"/>
        </w:rPr>
        <w:t>En effet</w:t>
      </w:r>
      <w:r w:rsidR="00716CBC" w:rsidRPr="0061020E">
        <w:rPr>
          <w:rFonts w:ascii="Rockwell" w:hAnsi="Rockwell"/>
          <w:sz w:val="24"/>
          <w:szCs w:val="24"/>
        </w:rPr>
        <w:t>, la r</w:t>
      </w:r>
      <w:r w:rsidR="00B42BFF">
        <w:rPr>
          <w:rFonts w:ascii="Rockwell" w:hAnsi="Rockwell"/>
          <w:sz w:val="24"/>
          <w:szCs w:val="24"/>
        </w:rPr>
        <w:t>é</w:t>
      </w:r>
      <w:r w:rsidR="00716CBC" w:rsidRPr="0061020E">
        <w:rPr>
          <w:rFonts w:ascii="Rockwell" w:hAnsi="Rockwell"/>
          <w:sz w:val="24"/>
          <w:szCs w:val="24"/>
        </w:rPr>
        <w:t xml:space="preserve">glementation des marchés publics </w:t>
      </w:r>
      <w:r w:rsidR="006C2BAB" w:rsidRPr="0061020E">
        <w:rPr>
          <w:rFonts w:ascii="Rockwell" w:hAnsi="Rockwell"/>
          <w:sz w:val="24"/>
          <w:szCs w:val="24"/>
        </w:rPr>
        <w:t xml:space="preserve"> organise les procédures de passation des marchés</w:t>
      </w:r>
      <w:r w:rsidR="00716CBC" w:rsidRPr="0061020E">
        <w:rPr>
          <w:rFonts w:ascii="Rockwell" w:hAnsi="Rockwell"/>
          <w:sz w:val="24"/>
          <w:szCs w:val="24"/>
        </w:rPr>
        <w:t>.</w:t>
      </w:r>
      <w:r w:rsidR="006C2BAB" w:rsidRPr="0061020E">
        <w:rPr>
          <w:rFonts w:ascii="Rockwell" w:hAnsi="Rockwell"/>
          <w:sz w:val="24"/>
          <w:szCs w:val="24"/>
        </w:rPr>
        <w:t xml:space="preserve"> Toutefois, les acheteurs ont du mal à acquérir les produits voulus dans la promptitude et la complétude attendues. Les principales difficultés rencontrées, aussi bien imputables à l'acheteur qu'au fournisseur</w:t>
      </w:r>
      <w:r w:rsidR="00B42BFF">
        <w:rPr>
          <w:rFonts w:ascii="Rockwell" w:hAnsi="Rockwell"/>
          <w:sz w:val="24"/>
          <w:szCs w:val="24"/>
        </w:rPr>
        <w:t>,</w:t>
      </w:r>
      <w:r w:rsidR="006C2BAB" w:rsidRPr="0061020E">
        <w:rPr>
          <w:rFonts w:ascii="Rockwell" w:hAnsi="Rockwell"/>
          <w:sz w:val="24"/>
          <w:szCs w:val="24"/>
        </w:rPr>
        <w:t xml:space="preserve"> sont </w:t>
      </w:r>
      <w:r w:rsidR="0066435F" w:rsidRPr="0061020E">
        <w:rPr>
          <w:rFonts w:ascii="Rockwell" w:hAnsi="Rockwell"/>
          <w:sz w:val="24"/>
          <w:szCs w:val="24"/>
        </w:rPr>
        <w:t xml:space="preserve">de plusieurs ordres. </w:t>
      </w:r>
      <w:r w:rsidR="005C03D0" w:rsidRPr="0061020E">
        <w:rPr>
          <w:rFonts w:ascii="Rockwell" w:hAnsi="Rockwell"/>
          <w:sz w:val="24"/>
          <w:szCs w:val="24"/>
        </w:rPr>
        <w:t xml:space="preserve">Plusieurs difficultés ont été répertoriées dans les rapports d’activités 2010, 2011, 2012, 2013 de </w:t>
      </w:r>
      <w:r w:rsidR="00492C04" w:rsidRPr="0061020E">
        <w:rPr>
          <w:rFonts w:ascii="Rockwell" w:hAnsi="Rockwell"/>
          <w:sz w:val="24"/>
          <w:szCs w:val="24"/>
        </w:rPr>
        <w:t>l’ARMP</w:t>
      </w:r>
      <w:r w:rsidR="005C03D0" w:rsidRPr="0061020E">
        <w:rPr>
          <w:rFonts w:ascii="Rockwell" w:hAnsi="Rockwell"/>
          <w:sz w:val="24"/>
          <w:szCs w:val="24"/>
        </w:rPr>
        <w:t>, dans les rapports d’activités 2014 et 2015 de l’ARCOP ainsi que dans les rapport</w:t>
      </w:r>
      <w:r w:rsidR="00F95134">
        <w:rPr>
          <w:rFonts w:ascii="Rockwell" w:hAnsi="Rockwell"/>
          <w:sz w:val="24"/>
          <w:szCs w:val="24"/>
        </w:rPr>
        <w:t>s</w:t>
      </w:r>
      <w:r w:rsidR="005C03D0" w:rsidRPr="0061020E">
        <w:rPr>
          <w:rFonts w:ascii="Rockwell" w:hAnsi="Rockwell"/>
          <w:sz w:val="24"/>
          <w:szCs w:val="24"/>
        </w:rPr>
        <w:t xml:space="preserve"> d’audit des marchés publi</w:t>
      </w:r>
      <w:r w:rsidR="00F95134">
        <w:rPr>
          <w:rFonts w:ascii="Rockwell" w:hAnsi="Rockwell"/>
          <w:sz w:val="24"/>
          <w:szCs w:val="24"/>
        </w:rPr>
        <w:t>cs</w:t>
      </w:r>
      <w:r w:rsidR="00B42BFF">
        <w:rPr>
          <w:rFonts w:ascii="Rockwell" w:hAnsi="Rockwell"/>
          <w:sz w:val="24"/>
          <w:szCs w:val="24"/>
        </w:rPr>
        <w:t>,</w:t>
      </w:r>
      <w:r w:rsidR="005C03D0" w:rsidRPr="0061020E">
        <w:rPr>
          <w:rFonts w:ascii="Rockwell" w:hAnsi="Rockwell"/>
          <w:sz w:val="24"/>
          <w:szCs w:val="24"/>
        </w:rPr>
        <w:t xml:space="preserve"> gestions 2008</w:t>
      </w:r>
      <w:r w:rsidR="00492C04" w:rsidRPr="0061020E">
        <w:rPr>
          <w:rFonts w:ascii="Rockwell" w:hAnsi="Rockwell"/>
          <w:sz w:val="24"/>
          <w:szCs w:val="24"/>
        </w:rPr>
        <w:t xml:space="preserve">, </w:t>
      </w:r>
      <w:r w:rsidR="005C03D0" w:rsidRPr="0061020E">
        <w:rPr>
          <w:rFonts w:ascii="Rockwell" w:hAnsi="Rockwell"/>
          <w:sz w:val="24"/>
          <w:szCs w:val="24"/>
        </w:rPr>
        <w:t>2009, 2010, 2011 et 2012</w:t>
      </w:r>
      <w:r w:rsidR="000822D2" w:rsidRPr="0061020E">
        <w:rPr>
          <w:rFonts w:ascii="Rockwell" w:hAnsi="Rockwell"/>
          <w:sz w:val="24"/>
          <w:szCs w:val="24"/>
        </w:rPr>
        <w:t xml:space="preserve"> de l’ARCOP</w:t>
      </w:r>
      <w:r w:rsidR="005C03D0" w:rsidRPr="0061020E">
        <w:rPr>
          <w:rFonts w:ascii="Rockwell" w:hAnsi="Rockwell"/>
          <w:sz w:val="24"/>
          <w:szCs w:val="24"/>
        </w:rPr>
        <w:t xml:space="preserve">. </w:t>
      </w:r>
      <w:r w:rsidR="0066435F" w:rsidRPr="0061020E">
        <w:rPr>
          <w:rFonts w:ascii="Rockwell" w:hAnsi="Rockwell"/>
          <w:sz w:val="24"/>
          <w:szCs w:val="24"/>
        </w:rPr>
        <w:t>Il s’agit</w:t>
      </w:r>
      <w:r w:rsidR="00B42BFF">
        <w:rPr>
          <w:rFonts w:ascii="Rockwell" w:hAnsi="Rockwell"/>
          <w:sz w:val="24"/>
          <w:szCs w:val="24"/>
        </w:rPr>
        <w:t>,</w:t>
      </w:r>
      <w:r w:rsidR="0066435F" w:rsidRPr="0061020E">
        <w:rPr>
          <w:rFonts w:ascii="Rockwell" w:hAnsi="Rockwell"/>
          <w:sz w:val="24"/>
          <w:szCs w:val="24"/>
        </w:rPr>
        <w:t xml:space="preserve"> notamment :</w:t>
      </w:r>
    </w:p>
    <w:p w:rsidR="00C000AB"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32" w:name="_Toc462394645"/>
      <w:r w:rsidRPr="0061020E">
        <w:rPr>
          <w:rFonts w:ascii="Rockwell" w:hAnsi="Rockwell"/>
          <w:sz w:val="24"/>
          <w:szCs w:val="24"/>
        </w:rPr>
        <w:t>d</w:t>
      </w:r>
      <w:r w:rsidR="00B714FE" w:rsidRPr="0061020E">
        <w:rPr>
          <w:rFonts w:ascii="Rockwell" w:hAnsi="Rockwell"/>
          <w:sz w:val="24"/>
          <w:szCs w:val="24"/>
        </w:rPr>
        <w:t>es insuffisances dans l'expression des besoins dans les cahiers de</w:t>
      </w:r>
      <w:r w:rsidR="00B42BFF">
        <w:rPr>
          <w:rFonts w:ascii="Rockwell" w:hAnsi="Rockwell"/>
          <w:sz w:val="24"/>
          <w:szCs w:val="24"/>
        </w:rPr>
        <w:t>s</w:t>
      </w:r>
      <w:r w:rsidR="00B714FE" w:rsidRPr="0061020E">
        <w:rPr>
          <w:rFonts w:ascii="Rockwell" w:hAnsi="Rockwell"/>
          <w:sz w:val="24"/>
          <w:szCs w:val="24"/>
        </w:rPr>
        <w:t xml:space="preserve"> spécifications techniques</w:t>
      </w:r>
      <w:r w:rsidR="00716CBC" w:rsidRPr="0061020E">
        <w:rPr>
          <w:rFonts w:ascii="Rockwell" w:hAnsi="Rockwell"/>
          <w:sz w:val="24"/>
          <w:szCs w:val="24"/>
        </w:rPr>
        <w:t> ;</w:t>
      </w:r>
      <w:bookmarkEnd w:id="32"/>
    </w:p>
    <w:p w:rsidR="00C000AB"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33" w:name="_Toc462394646"/>
      <w:r w:rsidRPr="0061020E">
        <w:rPr>
          <w:rFonts w:ascii="Rockwell" w:hAnsi="Rockwell"/>
          <w:sz w:val="24"/>
          <w:szCs w:val="24"/>
        </w:rPr>
        <w:t>d</w:t>
      </w:r>
      <w:r w:rsidR="00B714FE" w:rsidRPr="0061020E">
        <w:rPr>
          <w:rFonts w:ascii="Rockwell" w:hAnsi="Rockwell"/>
          <w:sz w:val="24"/>
          <w:szCs w:val="24"/>
        </w:rPr>
        <w:t>es manquements dans la description des clauses administratives</w:t>
      </w:r>
      <w:r w:rsidR="00716CBC" w:rsidRPr="0061020E">
        <w:rPr>
          <w:rFonts w:ascii="Rockwell" w:hAnsi="Rockwell"/>
          <w:sz w:val="24"/>
          <w:szCs w:val="24"/>
        </w:rPr>
        <w:t> ;</w:t>
      </w:r>
      <w:bookmarkEnd w:id="33"/>
    </w:p>
    <w:p w:rsidR="00C000AB" w:rsidRPr="0061020E" w:rsidRDefault="00B714FE" w:rsidP="008F6018">
      <w:pPr>
        <w:pStyle w:val="Paragraphedeliste"/>
        <w:numPr>
          <w:ilvl w:val="0"/>
          <w:numId w:val="75"/>
        </w:numPr>
        <w:spacing w:after="120" w:line="240" w:lineRule="auto"/>
        <w:jc w:val="both"/>
        <w:rPr>
          <w:rFonts w:ascii="Rockwell" w:hAnsi="Rockwell"/>
          <w:sz w:val="24"/>
          <w:szCs w:val="24"/>
        </w:rPr>
      </w:pPr>
      <w:bookmarkStart w:id="34" w:name="_Toc462394647"/>
      <w:r w:rsidRPr="0061020E">
        <w:rPr>
          <w:rFonts w:ascii="Rockwell" w:hAnsi="Rockwell"/>
          <w:sz w:val="24"/>
          <w:szCs w:val="24"/>
        </w:rPr>
        <w:t>la non maîtrise de la planificatio</w:t>
      </w:r>
      <w:r w:rsidR="005C03D0" w:rsidRPr="0061020E">
        <w:rPr>
          <w:rFonts w:ascii="Rockwell" w:hAnsi="Rockwell"/>
          <w:sz w:val="24"/>
          <w:szCs w:val="24"/>
        </w:rPr>
        <w:t>n des achats dans le temps</w:t>
      </w:r>
      <w:r w:rsidR="00716CBC" w:rsidRPr="0061020E">
        <w:rPr>
          <w:rFonts w:ascii="Rockwell" w:hAnsi="Rockwell"/>
          <w:sz w:val="24"/>
          <w:szCs w:val="24"/>
        </w:rPr>
        <w:t>;</w:t>
      </w:r>
      <w:bookmarkEnd w:id="34"/>
    </w:p>
    <w:p w:rsidR="00F95134" w:rsidRDefault="0066435F" w:rsidP="00F95134">
      <w:pPr>
        <w:pStyle w:val="Paragraphedeliste"/>
        <w:numPr>
          <w:ilvl w:val="0"/>
          <w:numId w:val="75"/>
        </w:numPr>
        <w:spacing w:after="120" w:line="240" w:lineRule="auto"/>
        <w:jc w:val="both"/>
        <w:rPr>
          <w:rFonts w:ascii="Rockwell" w:hAnsi="Rockwell"/>
          <w:sz w:val="24"/>
          <w:szCs w:val="24"/>
        </w:rPr>
      </w:pPr>
      <w:bookmarkStart w:id="35" w:name="_Toc462394648"/>
      <w:r w:rsidRPr="0061020E">
        <w:rPr>
          <w:rFonts w:ascii="Rockwell" w:hAnsi="Rockwell"/>
          <w:sz w:val="24"/>
          <w:szCs w:val="24"/>
        </w:rPr>
        <w:t>du</w:t>
      </w:r>
      <w:r w:rsidR="00B714FE" w:rsidRPr="0061020E">
        <w:rPr>
          <w:rFonts w:ascii="Rockwell" w:hAnsi="Rockwell"/>
          <w:sz w:val="24"/>
          <w:szCs w:val="24"/>
        </w:rPr>
        <w:t xml:space="preserve"> manque d</w:t>
      </w:r>
      <w:r w:rsidR="00F95134">
        <w:rPr>
          <w:rFonts w:ascii="Rockwell" w:hAnsi="Rockwell"/>
          <w:sz w:val="24"/>
          <w:szCs w:val="24"/>
        </w:rPr>
        <w:t>e professionnalisme des acteurs</w:t>
      </w:r>
      <w:r w:rsidR="00B714FE" w:rsidRPr="0061020E">
        <w:rPr>
          <w:rFonts w:ascii="Rockwell" w:hAnsi="Rockwell"/>
          <w:sz w:val="24"/>
          <w:szCs w:val="24"/>
        </w:rPr>
        <w:t>/fournisseurs</w:t>
      </w:r>
      <w:r w:rsidR="002154BF" w:rsidRPr="0061020E">
        <w:rPr>
          <w:rFonts w:ascii="Rockwell" w:hAnsi="Rockwell"/>
          <w:sz w:val="24"/>
          <w:szCs w:val="24"/>
        </w:rPr>
        <w:t xml:space="preserve"> (</w:t>
      </w:r>
      <w:r w:rsidR="00717ACC" w:rsidRPr="0061020E">
        <w:rPr>
          <w:rFonts w:ascii="Rockwell" w:hAnsi="Rockwell"/>
          <w:sz w:val="24"/>
          <w:szCs w:val="24"/>
        </w:rPr>
        <w:t>non-respect</w:t>
      </w:r>
      <w:r w:rsidR="002154BF" w:rsidRPr="0061020E">
        <w:rPr>
          <w:rFonts w:ascii="Rockwell" w:hAnsi="Rockwell"/>
          <w:sz w:val="24"/>
          <w:szCs w:val="24"/>
        </w:rPr>
        <w:t xml:space="preserve"> des procédures d'assurance qualité, inexistence de système qualité dans les entreprises candidates, </w:t>
      </w:r>
      <w:r w:rsidR="00F95134">
        <w:rPr>
          <w:rFonts w:ascii="Rockwell" w:hAnsi="Rockwell"/>
          <w:sz w:val="24"/>
          <w:szCs w:val="24"/>
        </w:rPr>
        <w:t>etc.</w:t>
      </w:r>
      <w:r w:rsidR="002154BF" w:rsidRPr="0061020E">
        <w:rPr>
          <w:rFonts w:ascii="Rockwell" w:hAnsi="Rockwell"/>
          <w:sz w:val="24"/>
          <w:szCs w:val="24"/>
        </w:rPr>
        <w:t>)</w:t>
      </w:r>
      <w:r w:rsidR="00716CBC" w:rsidRPr="0061020E">
        <w:rPr>
          <w:rFonts w:ascii="Rockwell" w:hAnsi="Rockwell"/>
          <w:sz w:val="24"/>
          <w:szCs w:val="24"/>
        </w:rPr>
        <w:t> ;</w:t>
      </w:r>
      <w:bookmarkStart w:id="36" w:name="_Toc462394649"/>
      <w:bookmarkEnd w:id="35"/>
    </w:p>
    <w:p w:rsidR="00C000AB" w:rsidRPr="00F95134" w:rsidRDefault="0066435F" w:rsidP="00F95134">
      <w:pPr>
        <w:pStyle w:val="Paragraphedeliste"/>
        <w:numPr>
          <w:ilvl w:val="0"/>
          <w:numId w:val="75"/>
        </w:numPr>
        <w:spacing w:after="120" w:line="240" w:lineRule="auto"/>
        <w:jc w:val="both"/>
        <w:rPr>
          <w:rFonts w:ascii="Rockwell" w:hAnsi="Rockwell"/>
          <w:sz w:val="24"/>
          <w:szCs w:val="24"/>
        </w:rPr>
      </w:pPr>
      <w:r w:rsidRPr="00F95134">
        <w:rPr>
          <w:rFonts w:ascii="Rockwell" w:hAnsi="Rockwell"/>
          <w:sz w:val="24"/>
          <w:szCs w:val="24"/>
        </w:rPr>
        <w:t>du</w:t>
      </w:r>
      <w:r w:rsidR="00B714FE" w:rsidRPr="00F95134">
        <w:rPr>
          <w:rFonts w:ascii="Rockwell" w:hAnsi="Rockwell"/>
          <w:sz w:val="24"/>
          <w:szCs w:val="24"/>
        </w:rPr>
        <w:t xml:space="preserve"> </w:t>
      </w:r>
      <w:r w:rsidR="00717ACC" w:rsidRPr="00F95134">
        <w:rPr>
          <w:rFonts w:ascii="Rockwell" w:hAnsi="Rockwell"/>
          <w:sz w:val="24"/>
          <w:szCs w:val="24"/>
        </w:rPr>
        <w:t>non-respect</w:t>
      </w:r>
      <w:r w:rsidR="002154BF" w:rsidRPr="00F95134">
        <w:rPr>
          <w:rFonts w:ascii="Rockwell" w:hAnsi="Rockwell"/>
          <w:sz w:val="24"/>
          <w:szCs w:val="24"/>
        </w:rPr>
        <w:t xml:space="preserve"> des clauses</w:t>
      </w:r>
      <w:r w:rsidR="00B714FE" w:rsidRPr="00F95134">
        <w:rPr>
          <w:rFonts w:ascii="Rockwell" w:hAnsi="Rockwell"/>
          <w:sz w:val="24"/>
          <w:szCs w:val="24"/>
        </w:rPr>
        <w:t xml:space="preserve"> des contrats (qualité des produits, délais de livraison</w:t>
      </w:r>
      <w:r w:rsidR="00FA02CB" w:rsidRPr="00F95134">
        <w:rPr>
          <w:rFonts w:ascii="Rockwell" w:hAnsi="Rockwell"/>
          <w:sz w:val="24"/>
          <w:szCs w:val="24"/>
        </w:rPr>
        <w:t>,</w:t>
      </w:r>
      <w:r w:rsidR="00F95134">
        <w:rPr>
          <w:rFonts w:ascii="Rockwell" w:hAnsi="Rockwell"/>
          <w:sz w:val="24"/>
          <w:szCs w:val="24"/>
        </w:rPr>
        <w:t xml:space="preserve"> etc.</w:t>
      </w:r>
      <w:r w:rsidR="00FA02CB" w:rsidRPr="00F95134">
        <w:rPr>
          <w:rFonts w:ascii="Rockwell" w:hAnsi="Rockwell"/>
          <w:sz w:val="24"/>
          <w:szCs w:val="24"/>
        </w:rPr>
        <w:t>)</w:t>
      </w:r>
      <w:r w:rsidR="00716CBC" w:rsidRPr="00F95134">
        <w:rPr>
          <w:rFonts w:ascii="Rockwell" w:hAnsi="Rockwell"/>
          <w:sz w:val="24"/>
          <w:szCs w:val="24"/>
        </w:rPr>
        <w:t> ;</w:t>
      </w:r>
      <w:bookmarkEnd w:id="36"/>
    </w:p>
    <w:p w:rsidR="00C000AB"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37" w:name="_Toc462394650"/>
      <w:r w:rsidRPr="0061020E">
        <w:rPr>
          <w:rFonts w:ascii="Rockwell" w:hAnsi="Rockwell"/>
          <w:sz w:val="24"/>
          <w:szCs w:val="24"/>
        </w:rPr>
        <w:t xml:space="preserve">de </w:t>
      </w:r>
      <w:r w:rsidR="002154BF" w:rsidRPr="0061020E">
        <w:rPr>
          <w:rFonts w:ascii="Rockwell" w:hAnsi="Rockwell"/>
          <w:sz w:val="24"/>
          <w:szCs w:val="24"/>
        </w:rPr>
        <w:t>l'absence de contrôle de la qualité des biens et services livrés</w:t>
      </w:r>
      <w:r w:rsidR="00716CBC" w:rsidRPr="0061020E">
        <w:rPr>
          <w:rFonts w:ascii="Rockwell" w:hAnsi="Rockwell"/>
          <w:sz w:val="24"/>
          <w:szCs w:val="24"/>
        </w:rPr>
        <w:t> ;</w:t>
      </w:r>
      <w:bookmarkEnd w:id="37"/>
    </w:p>
    <w:p w:rsidR="00C000AB"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38" w:name="_Toc462394651"/>
      <w:r w:rsidRPr="0061020E">
        <w:rPr>
          <w:rFonts w:ascii="Rockwell" w:hAnsi="Rockwell"/>
          <w:sz w:val="24"/>
          <w:szCs w:val="24"/>
        </w:rPr>
        <w:t xml:space="preserve">de </w:t>
      </w:r>
      <w:r w:rsidR="002154BF" w:rsidRPr="0061020E">
        <w:rPr>
          <w:rFonts w:ascii="Rockwell" w:hAnsi="Rockwell"/>
          <w:sz w:val="24"/>
          <w:szCs w:val="24"/>
        </w:rPr>
        <w:t>la difficulté de consultation restreinte</w:t>
      </w:r>
      <w:r w:rsidR="00D36BBF" w:rsidRPr="0061020E">
        <w:rPr>
          <w:rFonts w:ascii="Rockwell" w:hAnsi="Rockwell"/>
          <w:sz w:val="24"/>
          <w:szCs w:val="24"/>
        </w:rPr>
        <w:t xml:space="preserve"> qui ne permet pas de contracter directement avec des entreprises qualifiées</w:t>
      </w:r>
      <w:r w:rsidR="00716CBC" w:rsidRPr="0061020E">
        <w:rPr>
          <w:rFonts w:ascii="Rockwell" w:hAnsi="Rockwell"/>
          <w:sz w:val="24"/>
          <w:szCs w:val="24"/>
        </w:rPr>
        <w:t> ;</w:t>
      </w:r>
      <w:bookmarkEnd w:id="38"/>
    </w:p>
    <w:p w:rsidR="00C000AB"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39" w:name="_Toc462394652"/>
      <w:r w:rsidRPr="0061020E">
        <w:rPr>
          <w:rFonts w:ascii="Rockwell" w:hAnsi="Rockwell"/>
          <w:sz w:val="24"/>
          <w:szCs w:val="24"/>
        </w:rPr>
        <w:t xml:space="preserve">de </w:t>
      </w:r>
      <w:r w:rsidR="00910939" w:rsidRPr="0061020E">
        <w:rPr>
          <w:rFonts w:ascii="Rockwell" w:hAnsi="Rockwell"/>
          <w:sz w:val="24"/>
          <w:szCs w:val="24"/>
        </w:rPr>
        <w:t xml:space="preserve">la lourdeur des procédures, surtout pour les institutions centrales et </w:t>
      </w:r>
      <w:r w:rsidR="00717ACC" w:rsidRPr="0061020E">
        <w:rPr>
          <w:rFonts w:ascii="Rockwell" w:hAnsi="Rockwell"/>
          <w:sz w:val="24"/>
          <w:szCs w:val="24"/>
        </w:rPr>
        <w:t>les établissements publics</w:t>
      </w:r>
      <w:r w:rsidR="00910939" w:rsidRPr="0061020E">
        <w:rPr>
          <w:rFonts w:ascii="Rockwell" w:hAnsi="Rockwell"/>
          <w:sz w:val="24"/>
          <w:szCs w:val="24"/>
        </w:rPr>
        <w:t xml:space="preserve"> de l'Etat</w:t>
      </w:r>
      <w:r w:rsidR="00716CBC" w:rsidRPr="0061020E">
        <w:rPr>
          <w:rFonts w:ascii="Rockwell" w:hAnsi="Rockwell"/>
          <w:sz w:val="24"/>
          <w:szCs w:val="24"/>
        </w:rPr>
        <w:t> ;</w:t>
      </w:r>
      <w:bookmarkEnd w:id="39"/>
    </w:p>
    <w:p w:rsidR="006255D6" w:rsidRPr="0061020E" w:rsidRDefault="0066435F" w:rsidP="008F6018">
      <w:pPr>
        <w:pStyle w:val="Paragraphedeliste"/>
        <w:numPr>
          <w:ilvl w:val="0"/>
          <w:numId w:val="75"/>
        </w:numPr>
        <w:spacing w:after="120" w:line="240" w:lineRule="auto"/>
        <w:jc w:val="both"/>
        <w:rPr>
          <w:rFonts w:ascii="Rockwell" w:hAnsi="Rockwell"/>
          <w:sz w:val="24"/>
          <w:szCs w:val="24"/>
        </w:rPr>
      </w:pPr>
      <w:bookmarkStart w:id="40" w:name="_Toc462394653"/>
      <w:r w:rsidRPr="0061020E">
        <w:rPr>
          <w:rFonts w:ascii="Rockwell" w:hAnsi="Rockwell"/>
          <w:sz w:val="24"/>
          <w:szCs w:val="24"/>
        </w:rPr>
        <w:t xml:space="preserve">de </w:t>
      </w:r>
      <w:r w:rsidR="00910939" w:rsidRPr="0061020E">
        <w:rPr>
          <w:rFonts w:ascii="Rockwell" w:hAnsi="Rockwell"/>
          <w:sz w:val="24"/>
          <w:szCs w:val="24"/>
        </w:rPr>
        <w:t xml:space="preserve">la surenchère liée à la compétition, aux taxes et à la non mise à jour de la mercuriale des prix par le </w:t>
      </w:r>
      <w:r w:rsidR="00F078DC" w:rsidRPr="0061020E">
        <w:rPr>
          <w:rFonts w:ascii="Rockwell" w:hAnsi="Rockwell"/>
          <w:sz w:val="24"/>
          <w:szCs w:val="24"/>
        </w:rPr>
        <w:t>Ministère en charge de l’</w:t>
      </w:r>
      <w:r w:rsidR="00B42BFF" w:rsidRPr="0061020E">
        <w:rPr>
          <w:rFonts w:ascii="Rockwell" w:hAnsi="Rockwell"/>
          <w:sz w:val="24"/>
          <w:szCs w:val="24"/>
        </w:rPr>
        <w:t>é</w:t>
      </w:r>
      <w:r w:rsidR="00F078DC" w:rsidRPr="0061020E">
        <w:rPr>
          <w:rFonts w:ascii="Rockwell" w:hAnsi="Rockwell"/>
          <w:sz w:val="24"/>
          <w:szCs w:val="24"/>
        </w:rPr>
        <w:t xml:space="preserve">conomie et des </w:t>
      </w:r>
      <w:r w:rsidR="00B42BFF" w:rsidRPr="0061020E">
        <w:rPr>
          <w:rFonts w:ascii="Rockwell" w:hAnsi="Rockwell"/>
          <w:sz w:val="24"/>
          <w:szCs w:val="24"/>
        </w:rPr>
        <w:t>f</w:t>
      </w:r>
      <w:r w:rsidR="00F078DC" w:rsidRPr="0061020E">
        <w:rPr>
          <w:rFonts w:ascii="Rockwell" w:hAnsi="Rockwell"/>
          <w:sz w:val="24"/>
          <w:szCs w:val="24"/>
        </w:rPr>
        <w:t>inances</w:t>
      </w:r>
      <w:r w:rsidR="006255D6" w:rsidRPr="0061020E">
        <w:rPr>
          <w:rFonts w:ascii="Rockwell" w:hAnsi="Rockwell"/>
          <w:sz w:val="24"/>
          <w:szCs w:val="24"/>
        </w:rPr>
        <w:t>.</w:t>
      </w:r>
      <w:bookmarkEnd w:id="40"/>
    </w:p>
    <w:p w:rsidR="006255D6" w:rsidRPr="0061020E" w:rsidRDefault="006255D6" w:rsidP="008F6018">
      <w:pPr>
        <w:spacing w:after="120" w:line="240" w:lineRule="auto"/>
        <w:jc w:val="both"/>
        <w:rPr>
          <w:rFonts w:ascii="Rockwell" w:hAnsi="Rockwell"/>
          <w:sz w:val="24"/>
          <w:szCs w:val="24"/>
        </w:rPr>
      </w:pPr>
      <w:bookmarkStart w:id="41" w:name="_Toc462394654"/>
      <w:r w:rsidRPr="0061020E">
        <w:rPr>
          <w:rFonts w:ascii="Rockwell" w:hAnsi="Rockwell"/>
          <w:sz w:val="24"/>
          <w:szCs w:val="24"/>
        </w:rPr>
        <w:t>Comme tout client, l'acheteur</w:t>
      </w:r>
      <w:r w:rsidR="00D36BBF" w:rsidRPr="0061020E">
        <w:rPr>
          <w:rFonts w:ascii="Rockwell" w:hAnsi="Rockwell"/>
          <w:sz w:val="24"/>
          <w:szCs w:val="24"/>
        </w:rPr>
        <w:t xml:space="preserve"> public</w:t>
      </w:r>
      <w:r w:rsidRPr="0061020E">
        <w:rPr>
          <w:rFonts w:ascii="Rockwell" w:hAnsi="Rockwell"/>
          <w:sz w:val="24"/>
          <w:szCs w:val="24"/>
        </w:rPr>
        <w:t xml:space="preserve"> recherche la qualité qui, pour être garantie, doit </w:t>
      </w:r>
      <w:r w:rsidR="00DA73EA" w:rsidRPr="0061020E">
        <w:rPr>
          <w:rFonts w:ascii="Rockwell" w:hAnsi="Rockwell"/>
          <w:sz w:val="24"/>
          <w:szCs w:val="24"/>
        </w:rPr>
        <w:t>être</w:t>
      </w:r>
      <w:r w:rsidR="00D36BBF" w:rsidRPr="0061020E">
        <w:rPr>
          <w:rFonts w:ascii="Rockwell" w:hAnsi="Rockwell"/>
          <w:sz w:val="24"/>
          <w:szCs w:val="24"/>
        </w:rPr>
        <w:t xml:space="preserve"> présente à</w:t>
      </w:r>
      <w:r w:rsidRPr="0061020E">
        <w:rPr>
          <w:rFonts w:ascii="Rockwell" w:hAnsi="Rockwell"/>
          <w:sz w:val="24"/>
          <w:szCs w:val="24"/>
        </w:rPr>
        <w:t xml:space="preserve"> toutes les étapes du processus d'approvisionnement : définition technique du besoin, élaboration des spécifications techniques, sélection des fournisseurs, </w:t>
      </w:r>
      <w:r w:rsidR="0066435F" w:rsidRPr="0061020E">
        <w:rPr>
          <w:rFonts w:ascii="Rockwell" w:hAnsi="Rockwell"/>
          <w:sz w:val="24"/>
          <w:szCs w:val="24"/>
        </w:rPr>
        <w:t>évaluation</w:t>
      </w:r>
      <w:r w:rsidRPr="0061020E">
        <w:rPr>
          <w:rFonts w:ascii="Rockwell" w:hAnsi="Rockwell"/>
          <w:sz w:val="24"/>
          <w:szCs w:val="24"/>
        </w:rPr>
        <w:t xml:space="preserve"> des offres, surveillance de la réalisation, réception.</w:t>
      </w:r>
      <w:bookmarkEnd w:id="41"/>
    </w:p>
    <w:p w:rsidR="00910939" w:rsidRPr="0061020E" w:rsidRDefault="008C348A" w:rsidP="008F6018">
      <w:pPr>
        <w:spacing w:after="120" w:line="240" w:lineRule="auto"/>
        <w:jc w:val="both"/>
        <w:rPr>
          <w:rFonts w:ascii="Rockwell" w:hAnsi="Rockwell"/>
          <w:sz w:val="24"/>
          <w:szCs w:val="24"/>
        </w:rPr>
      </w:pPr>
      <w:bookmarkStart w:id="42" w:name="_Toc462394655"/>
      <w:r w:rsidRPr="0061020E">
        <w:rPr>
          <w:rFonts w:ascii="Rockwell" w:hAnsi="Rockwell"/>
          <w:sz w:val="24"/>
          <w:szCs w:val="24"/>
        </w:rPr>
        <w:t>Etant donné</w:t>
      </w:r>
      <w:r w:rsidR="005F7BAC" w:rsidRPr="0061020E">
        <w:rPr>
          <w:rFonts w:ascii="Rockwell" w:hAnsi="Rockwell"/>
          <w:sz w:val="24"/>
          <w:szCs w:val="24"/>
        </w:rPr>
        <w:t xml:space="preserve"> la liberté théorique de choix conféré à l'acheteur public par la r</w:t>
      </w:r>
      <w:r w:rsidR="00AB7B50">
        <w:rPr>
          <w:rFonts w:ascii="Rockwell" w:hAnsi="Rockwell"/>
          <w:sz w:val="24"/>
          <w:szCs w:val="24"/>
        </w:rPr>
        <w:t>é</w:t>
      </w:r>
      <w:r w:rsidR="005F7BAC" w:rsidRPr="0061020E">
        <w:rPr>
          <w:rFonts w:ascii="Rockwell" w:hAnsi="Rockwell"/>
          <w:sz w:val="24"/>
          <w:szCs w:val="24"/>
        </w:rPr>
        <w:t>glementation, à condition que ces choix ne soient pas discriminatoires, i</w:t>
      </w:r>
      <w:r w:rsidR="00910939" w:rsidRPr="0061020E">
        <w:rPr>
          <w:rFonts w:ascii="Rockwell" w:hAnsi="Rockwell"/>
          <w:sz w:val="24"/>
          <w:szCs w:val="24"/>
        </w:rPr>
        <w:t>l convient donc</w:t>
      </w:r>
      <w:r w:rsidR="00B42BFF">
        <w:rPr>
          <w:rFonts w:ascii="Rockwell" w:hAnsi="Rockwell"/>
          <w:sz w:val="24"/>
          <w:szCs w:val="24"/>
        </w:rPr>
        <w:t>,</w:t>
      </w:r>
      <w:r w:rsidR="00910939" w:rsidRPr="0061020E">
        <w:rPr>
          <w:rFonts w:ascii="Rockwell" w:hAnsi="Rockwell"/>
          <w:sz w:val="24"/>
          <w:szCs w:val="24"/>
        </w:rPr>
        <w:t xml:space="preserve"> de proposer des pistes  pour garantir une certaine maîtrise des risques liés aux processus de passation de</w:t>
      </w:r>
      <w:r w:rsidR="00B42BFF">
        <w:rPr>
          <w:rFonts w:ascii="Rockwell" w:hAnsi="Rockwell"/>
          <w:sz w:val="24"/>
          <w:szCs w:val="24"/>
        </w:rPr>
        <w:t>s</w:t>
      </w:r>
      <w:r w:rsidR="00910939" w:rsidRPr="0061020E">
        <w:rPr>
          <w:rFonts w:ascii="Rockwell" w:hAnsi="Rockwell"/>
          <w:sz w:val="24"/>
          <w:szCs w:val="24"/>
        </w:rPr>
        <w:t xml:space="preserve"> marchés.</w:t>
      </w:r>
      <w:bookmarkEnd w:id="42"/>
    </w:p>
    <w:p w:rsidR="002E6B83" w:rsidRPr="0061020E" w:rsidRDefault="002E6B83" w:rsidP="008F6018">
      <w:pPr>
        <w:spacing w:after="120" w:line="240" w:lineRule="auto"/>
        <w:jc w:val="both"/>
        <w:rPr>
          <w:rFonts w:ascii="Rockwell" w:hAnsi="Rockwell"/>
          <w:sz w:val="24"/>
          <w:szCs w:val="24"/>
        </w:rPr>
      </w:pPr>
    </w:p>
    <w:p w:rsidR="00452B30" w:rsidRPr="00F95134" w:rsidRDefault="00552A62" w:rsidP="008F6018">
      <w:pPr>
        <w:pStyle w:val="Titre2"/>
        <w:numPr>
          <w:ilvl w:val="0"/>
          <w:numId w:val="88"/>
        </w:numPr>
        <w:spacing w:before="0" w:after="120" w:line="240" w:lineRule="auto"/>
        <w:jc w:val="both"/>
        <w:rPr>
          <w:rFonts w:ascii="Rockwell" w:hAnsi="Rockwell"/>
          <w:color w:val="auto"/>
          <w:sz w:val="24"/>
          <w:szCs w:val="24"/>
        </w:rPr>
      </w:pPr>
      <w:bookmarkStart w:id="43" w:name="_Toc462394656"/>
      <w:bookmarkStart w:id="44" w:name="_Toc503784922"/>
      <w:bookmarkStart w:id="45" w:name="_Toc505063270"/>
      <w:r w:rsidRPr="00F95134">
        <w:rPr>
          <w:rFonts w:ascii="Rockwell" w:hAnsi="Rockwell"/>
          <w:color w:val="auto"/>
          <w:sz w:val="24"/>
          <w:szCs w:val="24"/>
        </w:rPr>
        <w:t>Phases d</w:t>
      </w:r>
      <w:r w:rsidR="00D36BBF" w:rsidRPr="00F95134">
        <w:rPr>
          <w:rFonts w:ascii="Rockwell" w:hAnsi="Rockwell"/>
          <w:color w:val="auto"/>
          <w:sz w:val="24"/>
          <w:szCs w:val="24"/>
        </w:rPr>
        <w:t>e passation</w:t>
      </w:r>
      <w:bookmarkEnd w:id="43"/>
      <w:bookmarkEnd w:id="44"/>
      <w:bookmarkEnd w:id="45"/>
    </w:p>
    <w:p w:rsidR="00552A62" w:rsidRPr="0061020E" w:rsidRDefault="00552A62" w:rsidP="008F6018">
      <w:pPr>
        <w:spacing w:after="120" w:line="240" w:lineRule="auto"/>
        <w:jc w:val="both"/>
        <w:rPr>
          <w:rFonts w:ascii="Rockwell" w:hAnsi="Rockwell"/>
          <w:sz w:val="24"/>
          <w:szCs w:val="24"/>
        </w:rPr>
      </w:pPr>
      <w:bookmarkStart w:id="46" w:name="_Toc462394657"/>
      <w:r w:rsidRPr="0061020E">
        <w:rPr>
          <w:rFonts w:ascii="Rockwell" w:hAnsi="Rockwell"/>
          <w:sz w:val="24"/>
          <w:szCs w:val="24"/>
        </w:rPr>
        <w:t xml:space="preserve">La procédure de commande publique implique </w:t>
      </w:r>
      <w:r w:rsidR="00BD5C84" w:rsidRPr="0061020E">
        <w:rPr>
          <w:rFonts w:ascii="Rockwell" w:hAnsi="Rockwell"/>
          <w:sz w:val="24"/>
          <w:szCs w:val="24"/>
        </w:rPr>
        <w:t>les</w:t>
      </w:r>
      <w:r w:rsidRPr="0061020E">
        <w:rPr>
          <w:rFonts w:ascii="Rockwell" w:hAnsi="Rockwell"/>
          <w:sz w:val="24"/>
          <w:szCs w:val="24"/>
        </w:rPr>
        <w:t xml:space="preserve"> phases</w:t>
      </w:r>
      <w:r w:rsidR="00BD5C84" w:rsidRPr="0061020E">
        <w:rPr>
          <w:rFonts w:ascii="Rockwell" w:hAnsi="Rockwell"/>
          <w:sz w:val="24"/>
          <w:szCs w:val="24"/>
        </w:rPr>
        <w:t xml:space="preserve"> suivantes</w:t>
      </w:r>
      <w:r w:rsidRPr="0061020E">
        <w:rPr>
          <w:rFonts w:ascii="Rockwell" w:hAnsi="Rockwell"/>
          <w:sz w:val="24"/>
          <w:szCs w:val="24"/>
        </w:rPr>
        <w:t xml:space="preserve"> :</w:t>
      </w:r>
      <w:r w:rsidR="00BD5C84" w:rsidRPr="0061020E">
        <w:rPr>
          <w:rFonts w:ascii="Rockwell" w:hAnsi="Rockwell"/>
          <w:sz w:val="24"/>
          <w:szCs w:val="24"/>
        </w:rPr>
        <w:t xml:space="preserve"> l’élaboration du dossier d’appel à concurrence,</w:t>
      </w:r>
      <w:r w:rsidRPr="0061020E">
        <w:rPr>
          <w:rFonts w:ascii="Rockwell" w:hAnsi="Rockwell"/>
          <w:sz w:val="24"/>
          <w:szCs w:val="24"/>
        </w:rPr>
        <w:t xml:space="preserve"> la sélection des candidats et </w:t>
      </w:r>
      <w:r w:rsidR="000822D2" w:rsidRPr="0061020E">
        <w:rPr>
          <w:rFonts w:ascii="Rockwell" w:hAnsi="Rockwell"/>
          <w:sz w:val="24"/>
          <w:szCs w:val="24"/>
        </w:rPr>
        <w:t xml:space="preserve">l’évaluation </w:t>
      </w:r>
      <w:r w:rsidR="0066435F" w:rsidRPr="0061020E">
        <w:rPr>
          <w:rFonts w:ascii="Rockwell" w:hAnsi="Rockwell"/>
          <w:sz w:val="24"/>
          <w:szCs w:val="24"/>
        </w:rPr>
        <w:t xml:space="preserve">des </w:t>
      </w:r>
      <w:r w:rsidR="000822D2" w:rsidRPr="0061020E">
        <w:rPr>
          <w:rFonts w:ascii="Rockwell" w:hAnsi="Rockwell"/>
          <w:sz w:val="24"/>
          <w:szCs w:val="24"/>
        </w:rPr>
        <w:t>offres</w:t>
      </w:r>
      <w:r w:rsidRPr="0061020E">
        <w:rPr>
          <w:rFonts w:ascii="Rockwell" w:hAnsi="Rockwell"/>
          <w:sz w:val="24"/>
          <w:szCs w:val="24"/>
        </w:rPr>
        <w:t>.</w:t>
      </w:r>
      <w:bookmarkEnd w:id="46"/>
      <w:r w:rsidRPr="0061020E">
        <w:rPr>
          <w:rFonts w:ascii="Rockwell" w:hAnsi="Rockwell"/>
          <w:sz w:val="24"/>
          <w:szCs w:val="24"/>
        </w:rPr>
        <w:t xml:space="preserve"> </w:t>
      </w:r>
    </w:p>
    <w:p w:rsidR="00552A62" w:rsidRPr="0061020E" w:rsidRDefault="00552A62" w:rsidP="008F6018">
      <w:pPr>
        <w:spacing w:after="120" w:line="240" w:lineRule="auto"/>
        <w:jc w:val="both"/>
        <w:rPr>
          <w:rFonts w:ascii="Rockwell" w:hAnsi="Rockwell"/>
          <w:sz w:val="24"/>
          <w:szCs w:val="24"/>
        </w:rPr>
      </w:pPr>
      <w:bookmarkStart w:id="47" w:name="_Toc462394658"/>
      <w:r w:rsidRPr="0061020E">
        <w:rPr>
          <w:rFonts w:ascii="Rockwell" w:hAnsi="Rockwell"/>
          <w:sz w:val="24"/>
          <w:szCs w:val="24"/>
        </w:rPr>
        <w:t>Les difficultés de choix ou de décision que l'acheteur peut rencontrer</w:t>
      </w:r>
      <w:r w:rsidR="00B42BFF">
        <w:rPr>
          <w:rFonts w:ascii="Rockwell" w:hAnsi="Rockwell"/>
          <w:sz w:val="24"/>
          <w:szCs w:val="24"/>
        </w:rPr>
        <w:t>,</w:t>
      </w:r>
      <w:r w:rsidRPr="0061020E">
        <w:rPr>
          <w:rFonts w:ascii="Rockwell" w:hAnsi="Rockwell"/>
          <w:sz w:val="24"/>
          <w:szCs w:val="24"/>
        </w:rPr>
        <w:t xml:space="preserve"> au cours d'une phase donnée et qui peuvent lui valoir des contestations, sont le plus souvent</w:t>
      </w:r>
      <w:r w:rsidR="00B42BFF">
        <w:rPr>
          <w:rFonts w:ascii="Rockwell" w:hAnsi="Rockwell"/>
          <w:sz w:val="24"/>
          <w:szCs w:val="24"/>
        </w:rPr>
        <w:t>,</w:t>
      </w:r>
      <w:r w:rsidRPr="0061020E">
        <w:rPr>
          <w:rFonts w:ascii="Rockwell" w:hAnsi="Rockwell"/>
          <w:sz w:val="24"/>
          <w:szCs w:val="24"/>
        </w:rPr>
        <w:t xml:space="preserve"> dues à des insuffisances dans les phases précédentes, notamment dans la définition du besoin et les spécifications relatives à la conformité.</w:t>
      </w:r>
      <w:bookmarkEnd w:id="47"/>
    </w:p>
    <w:p w:rsidR="00C531AA" w:rsidRPr="0061020E" w:rsidRDefault="00C531AA" w:rsidP="008F6018">
      <w:pPr>
        <w:spacing w:after="120" w:line="240" w:lineRule="auto"/>
        <w:jc w:val="both"/>
        <w:rPr>
          <w:rFonts w:ascii="Rockwell" w:hAnsi="Rockwell"/>
          <w:sz w:val="24"/>
          <w:szCs w:val="24"/>
        </w:rPr>
      </w:pPr>
      <w:r w:rsidRPr="0061020E">
        <w:rPr>
          <w:rFonts w:ascii="Rockwell" w:hAnsi="Rockwell"/>
          <w:sz w:val="24"/>
          <w:szCs w:val="24"/>
        </w:rPr>
        <w:t>Le besoin exprimé vise à satisfaire des exigences explicites ou implicites de l'acheteur et de l'utilisateur</w:t>
      </w:r>
      <w:r w:rsidR="00DD2C2C" w:rsidRPr="0061020E">
        <w:rPr>
          <w:rFonts w:ascii="Rockwell" w:hAnsi="Rockwell"/>
          <w:sz w:val="24"/>
          <w:szCs w:val="24"/>
        </w:rPr>
        <w:t xml:space="preserve"> </w:t>
      </w:r>
      <w:r w:rsidRPr="0061020E">
        <w:rPr>
          <w:rFonts w:ascii="Rockwell" w:hAnsi="Rockwell"/>
          <w:sz w:val="24"/>
          <w:szCs w:val="24"/>
        </w:rPr>
        <w:t xml:space="preserve">: il s'agit de la qualité. Les besoins </w:t>
      </w:r>
      <w:r w:rsidR="00B42BFF">
        <w:rPr>
          <w:rFonts w:ascii="Rockwell" w:hAnsi="Rockwell"/>
          <w:sz w:val="24"/>
          <w:szCs w:val="24"/>
        </w:rPr>
        <w:t>ser</w:t>
      </w:r>
      <w:r w:rsidRPr="0061020E">
        <w:rPr>
          <w:rFonts w:ascii="Rockwell" w:hAnsi="Rockwell"/>
          <w:sz w:val="24"/>
          <w:szCs w:val="24"/>
        </w:rPr>
        <w:t>ont bien exprimés</w:t>
      </w:r>
      <w:r w:rsidR="00B42BFF">
        <w:rPr>
          <w:rFonts w:ascii="Rockwell" w:hAnsi="Rockwell"/>
          <w:sz w:val="24"/>
          <w:szCs w:val="24"/>
        </w:rPr>
        <w:t>,</w:t>
      </w:r>
      <w:r w:rsidRPr="0061020E">
        <w:rPr>
          <w:rFonts w:ascii="Rockwell" w:hAnsi="Rockwell"/>
          <w:sz w:val="24"/>
          <w:szCs w:val="24"/>
        </w:rPr>
        <w:t xml:space="preserve"> </w:t>
      </w:r>
      <w:r w:rsidRPr="0061020E">
        <w:rPr>
          <w:rFonts w:ascii="Rockwell" w:hAnsi="Rockwell"/>
          <w:sz w:val="24"/>
          <w:szCs w:val="24"/>
        </w:rPr>
        <w:lastRenderedPageBreak/>
        <w:t xml:space="preserve">s'ils permettent au fournisseur de réduire au minimum le degré d'insatisfaction du client à la livraison, donc </w:t>
      </w:r>
      <w:r w:rsidR="001B5F03" w:rsidRPr="0061020E">
        <w:rPr>
          <w:rFonts w:ascii="Rockwell" w:hAnsi="Rockwell"/>
          <w:sz w:val="24"/>
          <w:szCs w:val="24"/>
        </w:rPr>
        <w:t>le degré de</w:t>
      </w:r>
      <w:r w:rsidRPr="0061020E">
        <w:rPr>
          <w:rFonts w:ascii="Rockwell" w:hAnsi="Rockwell"/>
          <w:sz w:val="24"/>
          <w:szCs w:val="24"/>
        </w:rPr>
        <w:t xml:space="preserve"> non qualité.</w:t>
      </w:r>
    </w:p>
    <w:p w:rsidR="0024661A" w:rsidRPr="0061020E" w:rsidRDefault="0024661A" w:rsidP="008F6018">
      <w:pPr>
        <w:spacing w:after="120" w:line="240" w:lineRule="auto"/>
        <w:jc w:val="both"/>
        <w:rPr>
          <w:rFonts w:ascii="Rockwell" w:hAnsi="Rockwell"/>
          <w:sz w:val="24"/>
          <w:szCs w:val="24"/>
        </w:rPr>
      </w:pPr>
      <w:r w:rsidRPr="0061020E">
        <w:rPr>
          <w:rFonts w:ascii="Rockwell" w:hAnsi="Rockwell"/>
          <w:sz w:val="24"/>
          <w:szCs w:val="24"/>
        </w:rPr>
        <w:t>L'acheteur/utilisateur devra donc</w:t>
      </w:r>
      <w:r w:rsidR="00B42BFF">
        <w:rPr>
          <w:rFonts w:ascii="Rockwell" w:hAnsi="Rockwell"/>
          <w:sz w:val="24"/>
          <w:szCs w:val="24"/>
        </w:rPr>
        <w:t>,</w:t>
      </w:r>
      <w:r w:rsidRPr="0061020E">
        <w:rPr>
          <w:rFonts w:ascii="Rockwell" w:hAnsi="Rockwell"/>
          <w:sz w:val="24"/>
          <w:szCs w:val="24"/>
        </w:rPr>
        <w:t xml:space="preserve"> bien identifier les besoins et les risques encourus </w:t>
      </w:r>
      <w:r w:rsidR="004339E8" w:rsidRPr="0061020E">
        <w:rPr>
          <w:rFonts w:ascii="Rockwell" w:hAnsi="Rockwell"/>
          <w:sz w:val="24"/>
          <w:szCs w:val="24"/>
        </w:rPr>
        <w:t>en fonction de la nature du produit et des conditions d'utilisation, et garantir le meilleur rapport qualité/prix dans le meilleur délai.</w:t>
      </w:r>
    </w:p>
    <w:p w:rsidR="00AD0FA0" w:rsidRPr="0061020E" w:rsidRDefault="00AD0FA0" w:rsidP="008F6018">
      <w:pPr>
        <w:spacing w:after="120" w:line="240" w:lineRule="auto"/>
        <w:jc w:val="both"/>
        <w:rPr>
          <w:rFonts w:ascii="Rockwell" w:hAnsi="Rockwell"/>
          <w:sz w:val="24"/>
          <w:szCs w:val="24"/>
        </w:rPr>
      </w:pPr>
      <w:r w:rsidRPr="0061020E">
        <w:rPr>
          <w:rFonts w:ascii="Rockwell" w:hAnsi="Rockwell"/>
          <w:sz w:val="24"/>
          <w:szCs w:val="24"/>
        </w:rPr>
        <w:t>L'analyse du besoin est une démarche d'optimisation, dans laquelle l'acheteur doit, si nécessaire, faire intervenir des techniciens et des utilisateurs.</w:t>
      </w:r>
      <w:r w:rsidR="00786FC3" w:rsidRPr="0061020E">
        <w:rPr>
          <w:rFonts w:ascii="Rockwell" w:hAnsi="Rockwell"/>
          <w:sz w:val="24"/>
          <w:szCs w:val="24"/>
        </w:rPr>
        <w:t xml:space="preserve"> Cette analyse doit également</w:t>
      </w:r>
      <w:r w:rsidR="00B42BFF">
        <w:rPr>
          <w:rFonts w:ascii="Rockwell" w:hAnsi="Rockwell"/>
          <w:sz w:val="24"/>
          <w:szCs w:val="24"/>
        </w:rPr>
        <w:t>,</w:t>
      </w:r>
      <w:r w:rsidR="00786FC3" w:rsidRPr="0061020E">
        <w:rPr>
          <w:rFonts w:ascii="Rockwell" w:hAnsi="Rockwell"/>
          <w:sz w:val="24"/>
          <w:szCs w:val="24"/>
        </w:rPr>
        <w:t xml:space="preserve"> permettre de fixer les critères d</w:t>
      </w:r>
      <w:r w:rsidR="006D5F16" w:rsidRPr="0061020E">
        <w:rPr>
          <w:rFonts w:ascii="Rockwell" w:hAnsi="Rockwell"/>
          <w:sz w:val="24"/>
          <w:szCs w:val="24"/>
        </w:rPr>
        <w:t xml:space="preserve">’évaluation </w:t>
      </w:r>
      <w:r w:rsidR="00786FC3" w:rsidRPr="0061020E">
        <w:rPr>
          <w:rFonts w:ascii="Rockwell" w:hAnsi="Rockwell"/>
          <w:sz w:val="24"/>
          <w:szCs w:val="24"/>
        </w:rPr>
        <w:t>des offres.</w:t>
      </w:r>
    </w:p>
    <w:p w:rsidR="0024661A" w:rsidRPr="0061020E" w:rsidRDefault="00786FC3" w:rsidP="008F6018">
      <w:pPr>
        <w:spacing w:after="120" w:line="240" w:lineRule="auto"/>
        <w:jc w:val="both"/>
        <w:rPr>
          <w:rFonts w:ascii="Rockwell" w:hAnsi="Rockwell"/>
          <w:sz w:val="24"/>
          <w:szCs w:val="24"/>
        </w:rPr>
      </w:pPr>
      <w:r w:rsidRPr="007A69B2">
        <w:rPr>
          <w:rFonts w:ascii="Rockwell" w:hAnsi="Rockwell"/>
          <w:b/>
          <w:sz w:val="24"/>
          <w:szCs w:val="24"/>
          <w:highlight w:val="lightGray"/>
        </w:rPr>
        <w:t>Les questions suivantes</w:t>
      </w:r>
      <w:r w:rsidR="009C1094">
        <w:rPr>
          <w:rFonts w:ascii="Rockwell" w:hAnsi="Rockwell"/>
          <w:b/>
          <w:sz w:val="24"/>
          <w:szCs w:val="24"/>
          <w:highlight w:val="lightGray"/>
        </w:rPr>
        <w:t>,</w:t>
      </w:r>
      <w:r w:rsidRPr="007A69B2">
        <w:rPr>
          <w:rFonts w:ascii="Rockwell" w:hAnsi="Rockwell"/>
          <w:b/>
          <w:sz w:val="24"/>
          <w:szCs w:val="24"/>
          <w:highlight w:val="lightGray"/>
        </w:rPr>
        <w:t xml:space="preserve"> sont de mise pour l'acheteur</w:t>
      </w:r>
      <w:r w:rsidRPr="007A69B2">
        <w:rPr>
          <w:rFonts w:ascii="Rockwell" w:hAnsi="Rockwell"/>
          <w:sz w:val="24"/>
          <w:szCs w:val="24"/>
          <w:highlight w:val="lightGray"/>
        </w:rPr>
        <w:t xml:space="preserve"> :</w:t>
      </w:r>
      <w:r w:rsidR="006F080C" w:rsidRPr="007A69B2">
        <w:rPr>
          <w:rFonts w:ascii="Rockwell" w:hAnsi="Rockwell"/>
          <w:sz w:val="24"/>
          <w:szCs w:val="24"/>
          <w:highlight w:val="lightGray"/>
        </w:rPr>
        <w:t xml:space="preserve"> </w:t>
      </w:r>
      <w:r w:rsidRPr="007A69B2">
        <w:rPr>
          <w:rFonts w:ascii="Rockwell" w:hAnsi="Rockwell"/>
          <w:sz w:val="24"/>
          <w:szCs w:val="24"/>
          <w:highlight w:val="lightGray"/>
        </w:rPr>
        <w:t>le produit est-il soumis à des exigences r</w:t>
      </w:r>
      <w:r w:rsidR="00B42BFF">
        <w:rPr>
          <w:rFonts w:ascii="Rockwell" w:hAnsi="Rockwell"/>
          <w:sz w:val="24"/>
          <w:szCs w:val="24"/>
          <w:highlight w:val="lightGray"/>
        </w:rPr>
        <w:t>é</w:t>
      </w:r>
      <w:r w:rsidRPr="007A69B2">
        <w:rPr>
          <w:rFonts w:ascii="Rockwell" w:hAnsi="Rockwell"/>
          <w:sz w:val="24"/>
          <w:szCs w:val="24"/>
          <w:highlight w:val="lightGray"/>
        </w:rPr>
        <w:t>glementaires ? Est-il notamment</w:t>
      </w:r>
      <w:r w:rsidR="00B42BFF">
        <w:rPr>
          <w:rFonts w:ascii="Rockwell" w:hAnsi="Rockwell"/>
          <w:sz w:val="24"/>
          <w:szCs w:val="24"/>
          <w:highlight w:val="lightGray"/>
        </w:rPr>
        <w:t>,</w:t>
      </w:r>
      <w:r w:rsidRPr="007A69B2">
        <w:rPr>
          <w:rFonts w:ascii="Rockwell" w:hAnsi="Rockwell"/>
          <w:sz w:val="24"/>
          <w:szCs w:val="24"/>
          <w:highlight w:val="lightGray"/>
        </w:rPr>
        <w:t xml:space="preserve"> soumis à des exigences de sécurité, de respect de l'environnement ou de recyclage en fin de vie ? </w:t>
      </w:r>
      <w:r w:rsidR="00607C09" w:rsidRPr="007A69B2">
        <w:rPr>
          <w:rFonts w:ascii="Rockwell" w:hAnsi="Rockwell"/>
          <w:sz w:val="24"/>
          <w:szCs w:val="24"/>
          <w:highlight w:val="lightGray"/>
        </w:rPr>
        <w:t>Lesquelles</w:t>
      </w:r>
      <w:r w:rsidRPr="007A69B2">
        <w:rPr>
          <w:rFonts w:ascii="Rockwell" w:hAnsi="Rockwell"/>
          <w:sz w:val="24"/>
          <w:szCs w:val="24"/>
          <w:highlight w:val="lightGray"/>
        </w:rPr>
        <w:t xml:space="preserve"> ?</w:t>
      </w:r>
    </w:p>
    <w:p w:rsidR="00CF2BDC" w:rsidRPr="0061020E" w:rsidRDefault="00DD2C2C" w:rsidP="008F6018">
      <w:pPr>
        <w:spacing w:after="120" w:line="240" w:lineRule="auto"/>
        <w:jc w:val="both"/>
        <w:rPr>
          <w:rFonts w:ascii="Rockwell" w:hAnsi="Rockwell"/>
          <w:sz w:val="24"/>
          <w:szCs w:val="24"/>
        </w:rPr>
      </w:pPr>
      <w:r w:rsidRPr="0061020E">
        <w:rPr>
          <w:rFonts w:ascii="Rockwell" w:hAnsi="Rockwell"/>
          <w:sz w:val="24"/>
          <w:szCs w:val="24"/>
        </w:rPr>
        <w:t>Au Burkina Faso, une typologie des fournitures a été établie et des normes de conformité référencées au niveau national</w:t>
      </w:r>
      <w:r w:rsidR="009C1094">
        <w:rPr>
          <w:rFonts w:ascii="Rockwell" w:hAnsi="Rockwell"/>
          <w:sz w:val="24"/>
          <w:szCs w:val="24"/>
        </w:rPr>
        <w:t>,</w:t>
      </w:r>
      <w:r w:rsidRPr="0061020E">
        <w:rPr>
          <w:rFonts w:ascii="Rockwell" w:hAnsi="Rockwell"/>
          <w:sz w:val="24"/>
          <w:szCs w:val="24"/>
        </w:rPr>
        <w:t xml:space="preserve"> quand elles exi</w:t>
      </w:r>
      <w:r w:rsidR="00B42BFF">
        <w:rPr>
          <w:rFonts w:ascii="Rockwell" w:hAnsi="Rockwell"/>
          <w:sz w:val="24"/>
          <w:szCs w:val="24"/>
        </w:rPr>
        <w:t xml:space="preserve">stent ou internationales. </w:t>
      </w:r>
      <w:r w:rsidRPr="0061020E">
        <w:rPr>
          <w:rFonts w:ascii="Rockwell" w:hAnsi="Rockwell"/>
          <w:sz w:val="24"/>
          <w:szCs w:val="24"/>
        </w:rPr>
        <w:t>Ces normes fixent des spécifications que les produits concernés doiv</w:t>
      </w:r>
      <w:r w:rsidR="00CF2BDC" w:rsidRPr="0061020E">
        <w:rPr>
          <w:rFonts w:ascii="Rockwell" w:hAnsi="Rockwell"/>
          <w:sz w:val="24"/>
          <w:szCs w:val="24"/>
        </w:rPr>
        <w:t>ent présenter pour</w:t>
      </w:r>
      <w:r w:rsidRPr="0061020E">
        <w:rPr>
          <w:rFonts w:ascii="Rockwell" w:hAnsi="Rockwell"/>
          <w:sz w:val="24"/>
          <w:szCs w:val="24"/>
        </w:rPr>
        <w:t xml:space="preserve"> être conformes et de bonne qualité. Ces normes étant périodiquement mises à jour, les caractéristiques sont sujettes à évolution</w:t>
      </w:r>
      <w:r w:rsidR="00B42BFF">
        <w:rPr>
          <w:rFonts w:ascii="Rockwell" w:hAnsi="Rockwell"/>
          <w:sz w:val="24"/>
          <w:szCs w:val="24"/>
        </w:rPr>
        <w:t>,</w:t>
      </w:r>
      <w:r w:rsidR="00433291" w:rsidRPr="0061020E">
        <w:rPr>
          <w:rFonts w:ascii="Rockwell" w:hAnsi="Rockwell"/>
          <w:sz w:val="24"/>
          <w:szCs w:val="24"/>
        </w:rPr>
        <w:t xml:space="preserve"> d'où la difficulté </w:t>
      </w:r>
      <w:r w:rsidR="009C1094">
        <w:rPr>
          <w:rFonts w:ascii="Rockwell" w:hAnsi="Rockwell"/>
          <w:sz w:val="24"/>
          <w:szCs w:val="24"/>
        </w:rPr>
        <w:t>à</w:t>
      </w:r>
      <w:r w:rsidR="00433291" w:rsidRPr="0061020E">
        <w:rPr>
          <w:rFonts w:ascii="Rockwell" w:hAnsi="Rockwell"/>
          <w:sz w:val="24"/>
          <w:szCs w:val="24"/>
        </w:rPr>
        <w:t xml:space="preserve"> fixer des spécifications de façon immuable.</w:t>
      </w:r>
    </w:p>
    <w:p w:rsidR="00DD2C2C" w:rsidRPr="0061020E" w:rsidRDefault="00433291" w:rsidP="008F6018">
      <w:pPr>
        <w:spacing w:after="120" w:line="240" w:lineRule="auto"/>
        <w:jc w:val="both"/>
        <w:rPr>
          <w:rFonts w:ascii="Rockwell" w:hAnsi="Rockwell"/>
          <w:sz w:val="24"/>
          <w:szCs w:val="24"/>
        </w:rPr>
      </w:pPr>
      <w:r w:rsidRPr="0061020E">
        <w:rPr>
          <w:rFonts w:ascii="Rockwell" w:hAnsi="Rockwell"/>
          <w:sz w:val="24"/>
          <w:szCs w:val="24"/>
        </w:rPr>
        <w:t>Toutefois, pour faciliter le travail de l'acheteur et harmoniser les pratiques, les spécifications de base</w:t>
      </w:r>
      <w:r w:rsidR="00A21033">
        <w:rPr>
          <w:rFonts w:ascii="Rockwell" w:hAnsi="Rockwell"/>
          <w:sz w:val="24"/>
          <w:szCs w:val="24"/>
        </w:rPr>
        <w:t>,</w:t>
      </w:r>
      <w:r w:rsidRPr="0061020E">
        <w:rPr>
          <w:rFonts w:ascii="Rockwell" w:hAnsi="Rockwell"/>
          <w:sz w:val="24"/>
          <w:szCs w:val="24"/>
        </w:rPr>
        <w:t xml:space="preserve"> proposées dans ce document</w:t>
      </w:r>
      <w:r w:rsidR="00A21033">
        <w:rPr>
          <w:rFonts w:ascii="Rockwell" w:hAnsi="Rockwell"/>
          <w:sz w:val="24"/>
          <w:szCs w:val="24"/>
        </w:rPr>
        <w:t>,</w:t>
      </w:r>
      <w:r w:rsidRPr="0061020E">
        <w:rPr>
          <w:rFonts w:ascii="Rockwell" w:hAnsi="Rockwell"/>
          <w:sz w:val="24"/>
          <w:szCs w:val="24"/>
        </w:rPr>
        <w:t xml:space="preserve"> peuvent être utilisées, avec nécessité d'une veille normative permanente.</w:t>
      </w:r>
    </w:p>
    <w:p w:rsidR="00DD2C2C" w:rsidRPr="0061020E" w:rsidRDefault="00DD2C2C" w:rsidP="008F6018">
      <w:pPr>
        <w:spacing w:after="120" w:line="240" w:lineRule="auto"/>
        <w:jc w:val="both"/>
        <w:rPr>
          <w:rFonts w:ascii="Rockwell" w:hAnsi="Rockwell"/>
          <w:sz w:val="24"/>
          <w:szCs w:val="24"/>
        </w:rPr>
      </w:pPr>
      <w:r w:rsidRPr="0061020E">
        <w:rPr>
          <w:rFonts w:ascii="Rockwell" w:hAnsi="Rockwell"/>
          <w:sz w:val="24"/>
          <w:szCs w:val="24"/>
        </w:rPr>
        <w:t>L'acheteur est donc</w:t>
      </w:r>
      <w:r w:rsidR="00A21033">
        <w:rPr>
          <w:rFonts w:ascii="Rockwell" w:hAnsi="Rockwell"/>
          <w:sz w:val="24"/>
          <w:szCs w:val="24"/>
        </w:rPr>
        <w:t>,</w:t>
      </w:r>
      <w:r w:rsidRPr="0061020E">
        <w:rPr>
          <w:rFonts w:ascii="Rockwell" w:hAnsi="Rockwell"/>
          <w:sz w:val="24"/>
          <w:szCs w:val="24"/>
        </w:rPr>
        <w:t xml:space="preserve"> invité à se procurer ses normes</w:t>
      </w:r>
      <w:r w:rsidR="00A21033">
        <w:rPr>
          <w:rFonts w:ascii="Rockwell" w:hAnsi="Rockwell"/>
          <w:sz w:val="24"/>
          <w:szCs w:val="24"/>
        </w:rPr>
        <w:t>,</w:t>
      </w:r>
      <w:r w:rsidRPr="0061020E">
        <w:rPr>
          <w:rFonts w:ascii="Rockwell" w:hAnsi="Rockwell"/>
          <w:sz w:val="24"/>
          <w:szCs w:val="24"/>
        </w:rPr>
        <w:t xml:space="preserve"> afin de satisfaire pleinement à cette activité de définition des caractéristiques techniques des fournitures</w:t>
      </w:r>
      <w:r w:rsidR="00717ACC" w:rsidRPr="0061020E">
        <w:rPr>
          <w:rStyle w:val="Appelnotedebasdep"/>
          <w:rFonts w:ascii="Rockwell" w:hAnsi="Rockwell"/>
          <w:sz w:val="24"/>
          <w:szCs w:val="24"/>
        </w:rPr>
        <w:footnoteReference w:id="1"/>
      </w:r>
      <w:r w:rsidRPr="0061020E">
        <w:rPr>
          <w:rFonts w:ascii="Rockwell" w:hAnsi="Rockwell"/>
          <w:sz w:val="24"/>
          <w:szCs w:val="24"/>
        </w:rPr>
        <w:t xml:space="preserve">. </w:t>
      </w:r>
    </w:p>
    <w:p w:rsidR="002E6B83" w:rsidRPr="0061020E" w:rsidRDefault="002E6B83" w:rsidP="008F6018">
      <w:pPr>
        <w:spacing w:after="120" w:line="240" w:lineRule="auto"/>
        <w:jc w:val="both"/>
        <w:rPr>
          <w:rFonts w:ascii="Rockwell" w:hAnsi="Rockwell"/>
          <w:sz w:val="24"/>
          <w:szCs w:val="24"/>
        </w:rPr>
      </w:pPr>
    </w:p>
    <w:p w:rsidR="00452B30" w:rsidRPr="00891E99" w:rsidRDefault="00452B30" w:rsidP="008F6018">
      <w:pPr>
        <w:pStyle w:val="Titre2"/>
        <w:numPr>
          <w:ilvl w:val="0"/>
          <w:numId w:val="88"/>
        </w:numPr>
        <w:spacing w:before="0" w:after="120" w:line="240" w:lineRule="auto"/>
        <w:jc w:val="both"/>
        <w:rPr>
          <w:rFonts w:ascii="Rockwell" w:hAnsi="Rockwell"/>
          <w:color w:val="auto"/>
          <w:sz w:val="24"/>
          <w:szCs w:val="24"/>
        </w:rPr>
      </w:pPr>
      <w:bookmarkStart w:id="48" w:name="_Toc503784923"/>
      <w:bookmarkStart w:id="49" w:name="_Toc505063271"/>
      <w:r w:rsidRPr="00891E99">
        <w:rPr>
          <w:rFonts w:ascii="Rockwell" w:hAnsi="Rockwell"/>
          <w:color w:val="auto"/>
          <w:sz w:val="24"/>
          <w:szCs w:val="24"/>
        </w:rPr>
        <w:t xml:space="preserve">Exigences de conformité : preuve de </w:t>
      </w:r>
      <w:r w:rsidR="00A21033">
        <w:rPr>
          <w:rFonts w:ascii="Rockwell" w:hAnsi="Rockwell"/>
          <w:color w:val="auto"/>
          <w:sz w:val="24"/>
          <w:szCs w:val="24"/>
        </w:rPr>
        <w:t xml:space="preserve">la </w:t>
      </w:r>
      <w:r w:rsidRPr="00891E99">
        <w:rPr>
          <w:rFonts w:ascii="Rockwell" w:hAnsi="Rockwell"/>
          <w:color w:val="auto"/>
          <w:sz w:val="24"/>
          <w:szCs w:val="24"/>
        </w:rPr>
        <w:t>conformité du produit et assurance de la qualité</w:t>
      </w:r>
      <w:bookmarkEnd w:id="48"/>
      <w:bookmarkEnd w:id="49"/>
    </w:p>
    <w:p w:rsidR="00F71DC0" w:rsidRPr="0061020E" w:rsidRDefault="00B40ADF" w:rsidP="008F6018">
      <w:pPr>
        <w:autoSpaceDE w:val="0"/>
        <w:autoSpaceDN w:val="0"/>
        <w:adjustRightInd w:val="0"/>
        <w:spacing w:after="120" w:line="240" w:lineRule="auto"/>
        <w:jc w:val="both"/>
        <w:rPr>
          <w:rFonts w:ascii="Rockwell" w:hAnsi="Rockwell" w:cs="Arial"/>
          <w:sz w:val="24"/>
          <w:szCs w:val="24"/>
        </w:rPr>
      </w:pPr>
      <w:r w:rsidRPr="0061020E">
        <w:rPr>
          <w:rFonts w:ascii="Rockwell" w:hAnsi="Rockwell"/>
          <w:sz w:val="24"/>
          <w:szCs w:val="24"/>
        </w:rPr>
        <w:t xml:space="preserve">Pour prévenir les risques de </w:t>
      </w:r>
      <w:r w:rsidR="00B07E0F" w:rsidRPr="0061020E">
        <w:rPr>
          <w:rFonts w:ascii="Rockwell" w:hAnsi="Rockwell"/>
          <w:sz w:val="24"/>
          <w:szCs w:val="24"/>
        </w:rPr>
        <w:t>non-conformité</w:t>
      </w:r>
      <w:r w:rsidRPr="0061020E">
        <w:rPr>
          <w:rFonts w:ascii="Rockwell" w:hAnsi="Rockwell"/>
          <w:sz w:val="24"/>
          <w:szCs w:val="24"/>
        </w:rPr>
        <w:t xml:space="preserve"> du produit (non imputables à l'acheteur) aux exigences ou spécifications de départ, donc au besoin exprimé, il convient de </w:t>
      </w:r>
      <w:r w:rsidR="00BD0D54" w:rsidRPr="0061020E">
        <w:rPr>
          <w:rFonts w:ascii="Rockwell" w:hAnsi="Rockwell"/>
          <w:sz w:val="24"/>
          <w:szCs w:val="24"/>
        </w:rPr>
        <w:t xml:space="preserve">procéder à des choix judicieux de preuve de conformité du produit et d'assurance de la qualité. </w:t>
      </w:r>
      <w:r w:rsidR="00E91894" w:rsidRPr="0061020E">
        <w:rPr>
          <w:rFonts w:ascii="Rockwell" w:hAnsi="Rockwell"/>
          <w:sz w:val="24"/>
          <w:szCs w:val="24"/>
        </w:rPr>
        <w:t>En effet</w:t>
      </w:r>
      <w:r w:rsidR="00A21033">
        <w:rPr>
          <w:rFonts w:ascii="Rockwell" w:hAnsi="Rockwell"/>
          <w:sz w:val="24"/>
          <w:szCs w:val="24"/>
        </w:rPr>
        <w:t>,</w:t>
      </w:r>
      <w:r w:rsidR="00E91894" w:rsidRPr="0061020E">
        <w:rPr>
          <w:rFonts w:ascii="Rockwell" w:hAnsi="Rockwell"/>
          <w:sz w:val="24"/>
          <w:szCs w:val="24"/>
        </w:rPr>
        <w:t xml:space="preserve"> </w:t>
      </w:r>
      <w:r w:rsidR="00A21033">
        <w:rPr>
          <w:rFonts w:ascii="Rockwell" w:hAnsi="Rockwell"/>
          <w:sz w:val="24"/>
          <w:szCs w:val="24"/>
        </w:rPr>
        <w:t>d</w:t>
      </w:r>
      <w:r w:rsidR="00E91894" w:rsidRPr="0061020E">
        <w:rPr>
          <w:rFonts w:ascii="Rockwell" w:hAnsi="Rockwell"/>
          <w:sz w:val="24"/>
          <w:szCs w:val="24"/>
        </w:rPr>
        <w:t>es normes</w:t>
      </w:r>
      <w:r w:rsidR="00A21033">
        <w:rPr>
          <w:rFonts w:ascii="Rockwell" w:hAnsi="Rockwell"/>
          <w:sz w:val="24"/>
          <w:szCs w:val="24"/>
        </w:rPr>
        <w:t>,</w:t>
      </w:r>
      <w:r w:rsidR="00E91894" w:rsidRPr="0061020E">
        <w:rPr>
          <w:rFonts w:ascii="Rockwell" w:hAnsi="Rockwell"/>
          <w:sz w:val="24"/>
          <w:szCs w:val="24"/>
        </w:rPr>
        <w:t xml:space="preserve"> telle</w:t>
      </w:r>
      <w:r w:rsidR="009C1094">
        <w:rPr>
          <w:rFonts w:ascii="Rockwell" w:hAnsi="Rockwell"/>
          <w:sz w:val="24"/>
          <w:szCs w:val="24"/>
        </w:rPr>
        <w:t>s</w:t>
      </w:r>
      <w:r w:rsidR="00E91894" w:rsidRPr="0061020E">
        <w:rPr>
          <w:rFonts w:ascii="Rockwell" w:hAnsi="Rockwell"/>
          <w:sz w:val="24"/>
          <w:szCs w:val="24"/>
        </w:rPr>
        <w:t xml:space="preserve"> que la norme ISO 17025</w:t>
      </w:r>
      <w:r w:rsidR="00F71DC0" w:rsidRPr="0061020E">
        <w:rPr>
          <w:rFonts w:ascii="Rockwell" w:hAnsi="Rockwell"/>
          <w:sz w:val="24"/>
          <w:szCs w:val="24"/>
        </w:rPr>
        <w:t xml:space="preserve"> : 2005</w:t>
      </w:r>
      <w:r w:rsidR="00E91894" w:rsidRPr="0061020E">
        <w:rPr>
          <w:rFonts w:ascii="Rockwell" w:hAnsi="Rockwell"/>
          <w:sz w:val="24"/>
          <w:szCs w:val="24"/>
        </w:rPr>
        <w:t xml:space="preserve"> </w:t>
      </w:r>
      <w:r w:rsidR="00FA02CB" w:rsidRPr="0061020E">
        <w:rPr>
          <w:rFonts w:ascii="Rockwell" w:hAnsi="Rockwell"/>
          <w:sz w:val="24"/>
          <w:szCs w:val="24"/>
        </w:rPr>
        <w:t xml:space="preserve">[5] </w:t>
      </w:r>
      <w:r w:rsidR="00E91894" w:rsidRPr="0061020E">
        <w:rPr>
          <w:rFonts w:ascii="Rockwell" w:hAnsi="Rockwell"/>
          <w:sz w:val="24"/>
          <w:szCs w:val="24"/>
        </w:rPr>
        <w:t>exige que les produits</w:t>
      </w:r>
      <w:r w:rsidR="00D0266F" w:rsidRPr="0061020E">
        <w:rPr>
          <w:rFonts w:ascii="Rockwell" w:hAnsi="Rockwell"/>
          <w:sz w:val="24"/>
          <w:szCs w:val="24"/>
        </w:rPr>
        <w:t xml:space="preserve"> ne</w:t>
      </w:r>
      <w:r w:rsidR="00E91894" w:rsidRPr="0061020E">
        <w:rPr>
          <w:rFonts w:ascii="Rockwell" w:hAnsi="Rockwell"/>
          <w:sz w:val="24"/>
          <w:szCs w:val="24"/>
        </w:rPr>
        <w:t xml:space="preserve"> soient </w:t>
      </w:r>
      <w:r w:rsidR="00D0266F" w:rsidRPr="0061020E">
        <w:rPr>
          <w:rFonts w:ascii="Rockwell" w:hAnsi="Rockwell"/>
          <w:sz w:val="24"/>
          <w:szCs w:val="24"/>
        </w:rPr>
        <w:t xml:space="preserve">utilisés qu'après avoir été </w:t>
      </w:r>
      <w:r w:rsidR="00E91894" w:rsidRPr="0061020E">
        <w:rPr>
          <w:rFonts w:ascii="Rockwell" w:hAnsi="Rockwell"/>
          <w:sz w:val="24"/>
          <w:szCs w:val="24"/>
        </w:rPr>
        <w:t xml:space="preserve">contrôlés ou vérifiés </w:t>
      </w:r>
      <w:r w:rsidR="00D0266F" w:rsidRPr="0061020E">
        <w:rPr>
          <w:rFonts w:ascii="Rockwell" w:hAnsi="Rockwell" w:cs="Arial"/>
          <w:sz w:val="24"/>
          <w:szCs w:val="24"/>
        </w:rPr>
        <w:t>comme étant conformes aux spécifications standards ou aux exigences et que des enregistrements</w:t>
      </w:r>
      <w:r w:rsidR="007A69B2">
        <w:rPr>
          <w:rFonts w:ascii="Rockwell" w:hAnsi="Rockwell" w:cs="Arial"/>
          <w:sz w:val="24"/>
          <w:szCs w:val="24"/>
        </w:rPr>
        <w:t>,</w:t>
      </w:r>
      <w:r w:rsidR="00D0266F" w:rsidRPr="0061020E">
        <w:rPr>
          <w:rFonts w:ascii="Rockwell" w:hAnsi="Rockwell" w:cs="Arial"/>
          <w:sz w:val="24"/>
          <w:szCs w:val="24"/>
        </w:rPr>
        <w:t xml:space="preserve"> des dispositions prises pour en vérifier la conformité doivent être conservés</w:t>
      </w:r>
      <w:r w:rsidR="00F71DC0" w:rsidRPr="0061020E">
        <w:rPr>
          <w:rFonts w:ascii="Rockwell" w:hAnsi="Rockwell" w:cs="Arial"/>
          <w:sz w:val="24"/>
          <w:szCs w:val="24"/>
        </w:rPr>
        <w:t xml:space="preserve"> (point 4.6.2</w:t>
      </w:r>
      <w:r w:rsidR="005C03D0" w:rsidRPr="0061020E">
        <w:rPr>
          <w:rFonts w:ascii="Rockwell" w:hAnsi="Rockwell" w:cs="Arial"/>
          <w:sz w:val="24"/>
          <w:szCs w:val="24"/>
        </w:rPr>
        <w:t xml:space="preserve"> de la norme ISO 17025 :</w:t>
      </w:r>
      <w:r w:rsidR="00891E99">
        <w:rPr>
          <w:rFonts w:ascii="Rockwell" w:hAnsi="Rockwell" w:cs="Arial"/>
          <w:sz w:val="24"/>
          <w:szCs w:val="24"/>
        </w:rPr>
        <w:t xml:space="preserve"> </w:t>
      </w:r>
      <w:r w:rsidR="00937CFD" w:rsidRPr="0061020E">
        <w:rPr>
          <w:rFonts w:ascii="Rockwell" w:hAnsi="Rockwell" w:cs="Arial"/>
          <w:sz w:val="24"/>
          <w:szCs w:val="24"/>
        </w:rPr>
        <w:t>2005</w:t>
      </w:r>
      <w:r w:rsidR="00F71DC0" w:rsidRPr="0061020E">
        <w:rPr>
          <w:rFonts w:ascii="Rockwell" w:hAnsi="Rockwell" w:cs="Arial"/>
          <w:sz w:val="24"/>
          <w:szCs w:val="24"/>
        </w:rPr>
        <w:t>)</w:t>
      </w:r>
      <w:r w:rsidR="00D0266F" w:rsidRPr="0061020E">
        <w:rPr>
          <w:rFonts w:ascii="Rockwell" w:hAnsi="Rockwell" w:cs="Arial"/>
          <w:sz w:val="24"/>
          <w:szCs w:val="24"/>
        </w:rPr>
        <w:t>.</w:t>
      </w:r>
      <w:r w:rsidR="00F71DC0" w:rsidRPr="0061020E">
        <w:rPr>
          <w:rFonts w:ascii="Rockwell" w:hAnsi="Rockwell" w:cs="Arial"/>
          <w:sz w:val="24"/>
          <w:szCs w:val="24"/>
        </w:rPr>
        <w:t xml:space="preserve"> De même, le point 4.6.4 indique que le laboratoire doit évaluer les fournisseurs de produits consommables, fournitures et services critiques qui affectent la qualité des essais et des étalonnages et conserver des traces écrites de ces évaluations et établir une liste de ceux qui ont été approuvés.</w:t>
      </w:r>
    </w:p>
    <w:p w:rsidR="00A43AE7" w:rsidRPr="0061020E" w:rsidRDefault="00A43AE7" w:rsidP="008F6018">
      <w:pPr>
        <w:tabs>
          <w:tab w:val="left" w:pos="2328"/>
        </w:tabs>
        <w:spacing w:after="120" w:line="240" w:lineRule="auto"/>
        <w:jc w:val="both"/>
        <w:rPr>
          <w:rFonts w:ascii="Rockwell" w:hAnsi="Rockwell" w:cs="Arial"/>
          <w:sz w:val="24"/>
          <w:szCs w:val="24"/>
        </w:rPr>
      </w:pPr>
      <w:r w:rsidRPr="0061020E">
        <w:rPr>
          <w:rFonts w:ascii="Rockwell" w:hAnsi="Rockwell"/>
          <w:sz w:val="24"/>
          <w:szCs w:val="24"/>
        </w:rPr>
        <w:t>Certaines vérifications peuvent être documentaires ou physiques</w:t>
      </w:r>
      <w:r w:rsidR="00E0599F">
        <w:rPr>
          <w:rFonts w:ascii="Rockwell" w:hAnsi="Rockwell"/>
          <w:sz w:val="24"/>
          <w:szCs w:val="24"/>
        </w:rPr>
        <w:t>,</w:t>
      </w:r>
      <w:r w:rsidRPr="0061020E">
        <w:rPr>
          <w:rFonts w:ascii="Rockwell" w:hAnsi="Rockwell"/>
          <w:sz w:val="24"/>
          <w:szCs w:val="24"/>
        </w:rPr>
        <w:t xml:space="preserve"> tandis que d'autres nécessiteront des tests expérimentaux préalables à la réception.</w:t>
      </w:r>
    </w:p>
    <w:p w:rsidR="00AF0702" w:rsidRPr="0061020E" w:rsidRDefault="00D0266F" w:rsidP="008F6018">
      <w:pPr>
        <w:tabs>
          <w:tab w:val="left" w:pos="2328"/>
        </w:tabs>
        <w:spacing w:after="120" w:line="240" w:lineRule="auto"/>
        <w:jc w:val="both"/>
        <w:rPr>
          <w:rFonts w:ascii="Rockwell" w:hAnsi="Rockwell"/>
          <w:sz w:val="24"/>
          <w:szCs w:val="24"/>
        </w:rPr>
      </w:pPr>
      <w:r w:rsidRPr="0061020E">
        <w:rPr>
          <w:rFonts w:ascii="Rockwell" w:hAnsi="Rockwell"/>
          <w:sz w:val="24"/>
          <w:szCs w:val="24"/>
        </w:rPr>
        <w:t>Pour mieux garantir la conformité et disposer de la latitude de vérification, c</w:t>
      </w:r>
      <w:r w:rsidR="00BD0D54" w:rsidRPr="0061020E">
        <w:rPr>
          <w:rFonts w:ascii="Rockwell" w:hAnsi="Rockwell"/>
          <w:sz w:val="24"/>
          <w:szCs w:val="24"/>
        </w:rPr>
        <w:t xml:space="preserve">es choix doivent </w:t>
      </w:r>
      <w:r w:rsidRPr="0061020E">
        <w:rPr>
          <w:rFonts w:ascii="Rockwell" w:hAnsi="Rockwell"/>
          <w:sz w:val="24"/>
          <w:szCs w:val="24"/>
        </w:rPr>
        <w:t xml:space="preserve">faire l'objet d'accords écrits et </w:t>
      </w:r>
      <w:r w:rsidR="00BD0D54" w:rsidRPr="0061020E">
        <w:rPr>
          <w:rFonts w:ascii="Rockwell" w:hAnsi="Rockwell"/>
          <w:sz w:val="24"/>
          <w:szCs w:val="24"/>
        </w:rPr>
        <w:t xml:space="preserve">être communiqués </w:t>
      </w:r>
      <w:r w:rsidR="005D7956" w:rsidRPr="0061020E">
        <w:rPr>
          <w:rFonts w:ascii="Rockwell" w:hAnsi="Rockwell"/>
          <w:sz w:val="24"/>
          <w:szCs w:val="24"/>
        </w:rPr>
        <w:t xml:space="preserve">dans le cahier des clauses administratives particulières ou le cahier des spécifications </w:t>
      </w:r>
      <w:r w:rsidR="00717ACC" w:rsidRPr="0061020E">
        <w:rPr>
          <w:rFonts w:ascii="Rockwell" w:hAnsi="Rockwell"/>
          <w:sz w:val="24"/>
          <w:szCs w:val="24"/>
        </w:rPr>
        <w:t>techniques.</w:t>
      </w:r>
    </w:p>
    <w:p w:rsidR="00452B30" w:rsidRPr="00891E99" w:rsidRDefault="00452B30" w:rsidP="008F6018">
      <w:pPr>
        <w:pStyle w:val="Titre3"/>
        <w:numPr>
          <w:ilvl w:val="0"/>
          <w:numId w:val="89"/>
        </w:numPr>
        <w:spacing w:before="0" w:after="120" w:line="240" w:lineRule="auto"/>
        <w:jc w:val="both"/>
        <w:rPr>
          <w:rFonts w:ascii="Rockwell" w:hAnsi="Rockwell"/>
          <w:color w:val="auto"/>
          <w:sz w:val="24"/>
          <w:szCs w:val="24"/>
        </w:rPr>
      </w:pPr>
      <w:bookmarkStart w:id="50" w:name="_Toc505063272"/>
      <w:r w:rsidRPr="00891E99">
        <w:rPr>
          <w:rFonts w:ascii="Rockwell" w:hAnsi="Rockwell"/>
          <w:color w:val="auto"/>
          <w:sz w:val="24"/>
          <w:szCs w:val="24"/>
        </w:rPr>
        <w:lastRenderedPageBreak/>
        <w:t>Principales options possibles pour</w:t>
      </w:r>
      <w:r w:rsidR="00BD0D54" w:rsidRPr="00891E99">
        <w:rPr>
          <w:rFonts w:ascii="Rockwell" w:hAnsi="Rockwell"/>
          <w:color w:val="auto"/>
          <w:sz w:val="24"/>
          <w:szCs w:val="24"/>
        </w:rPr>
        <w:t xml:space="preserve"> les exigences en matière de preuv</w:t>
      </w:r>
      <w:r w:rsidRPr="00891E99">
        <w:rPr>
          <w:rFonts w:ascii="Rockwell" w:hAnsi="Rockwell"/>
          <w:color w:val="auto"/>
          <w:sz w:val="24"/>
          <w:szCs w:val="24"/>
        </w:rPr>
        <w:t xml:space="preserve">e de </w:t>
      </w:r>
      <w:r w:rsidR="00E0599F">
        <w:rPr>
          <w:rFonts w:ascii="Rockwell" w:hAnsi="Rockwell"/>
          <w:color w:val="auto"/>
          <w:sz w:val="24"/>
          <w:szCs w:val="24"/>
        </w:rPr>
        <w:t xml:space="preserve">la </w:t>
      </w:r>
      <w:r w:rsidRPr="00891E99">
        <w:rPr>
          <w:rFonts w:ascii="Rockwell" w:hAnsi="Rockwell"/>
          <w:color w:val="auto"/>
          <w:sz w:val="24"/>
          <w:szCs w:val="24"/>
        </w:rPr>
        <w:t>conformité du produit</w:t>
      </w:r>
      <w:bookmarkEnd w:id="50"/>
    </w:p>
    <w:p w:rsidR="00BD0D54" w:rsidRPr="0061020E" w:rsidRDefault="00BD0D54" w:rsidP="008F6018">
      <w:pPr>
        <w:spacing w:after="120" w:line="240" w:lineRule="auto"/>
        <w:jc w:val="both"/>
        <w:rPr>
          <w:rFonts w:ascii="Rockwell" w:hAnsi="Rockwell"/>
          <w:sz w:val="24"/>
          <w:szCs w:val="24"/>
        </w:rPr>
      </w:pPr>
      <w:r w:rsidRPr="0061020E">
        <w:rPr>
          <w:rFonts w:ascii="Rockwell" w:hAnsi="Rockwell"/>
          <w:sz w:val="24"/>
          <w:szCs w:val="24"/>
        </w:rPr>
        <w:t>Les p</w:t>
      </w:r>
      <w:r w:rsidR="003D4C59" w:rsidRPr="0061020E">
        <w:rPr>
          <w:rFonts w:ascii="Rockwell" w:hAnsi="Rockwell"/>
          <w:sz w:val="24"/>
          <w:szCs w:val="24"/>
        </w:rPr>
        <w:t>rincipales options sont énumérées</w:t>
      </w:r>
      <w:r w:rsidR="00E0599F">
        <w:rPr>
          <w:rFonts w:ascii="Rockwell" w:hAnsi="Rockwell"/>
          <w:sz w:val="24"/>
          <w:szCs w:val="24"/>
        </w:rPr>
        <w:t>,</w:t>
      </w:r>
      <w:r w:rsidR="003D4C59" w:rsidRPr="0061020E">
        <w:rPr>
          <w:rFonts w:ascii="Rockwell" w:hAnsi="Rockwell"/>
          <w:sz w:val="24"/>
          <w:szCs w:val="24"/>
        </w:rPr>
        <w:t xml:space="preserve"> ainsi qu'il suit, par ordre de sévérité croissante :</w:t>
      </w:r>
    </w:p>
    <w:p w:rsidR="00A43AE7" w:rsidRPr="0061020E" w:rsidRDefault="003D4C59" w:rsidP="008F6018">
      <w:pPr>
        <w:pStyle w:val="Paragraphedeliste"/>
        <w:numPr>
          <w:ilvl w:val="0"/>
          <w:numId w:val="105"/>
        </w:numPr>
        <w:spacing w:after="120" w:line="240" w:lineRule="auto"/>
        <w:jc w:val="both"/>
        <w:rPr>
          <w:rFonts w:ascii="Rockwell" w:hAnsi="Rockwell"/>
          <w:sz w:val="24"/>
          <w:szCs w:val="24"/>
        </w:rPr>
      </w:pPr>
      <w:r w:rsidRPr="0061020E">
        <w:rPr>
          <w:rFonts w:ascii="Rockwell" w:hAnsi="Rockwell"/>
          <w:sz w:val="24"/>
          <w:szCs w:val="24"/>
        </w:rPr>
        <w:t xml:space="preserve">aucune exigence de preuve de </w:t>
      </w:r>
      <w:r w:rsidR="00E0599F">
        <w:rPr>
          <w:rFonts w:ascii="Rockwell" w:hAnsi="Rockwell"/>
          <w:sz w:val="24"/>
          <w:szCs w:val="24"/>
        </w:rPr>
        <w:t xml:space="preserve">la </w:t>
      </w:r>
      <w:r w:rsidRPr="0061020E">
        <w:rPr>
          <w:rFonts w:ascii="Rockwell" w:hAnsi="Rockwell"/>
          <w:sz w:val="24"/>
          <w:szCs w:val="24"/>
        </w:rPr>
        <w:t>conformité</w:t>
      </w:r>
      <w:r w:rsidR="00A43AE7" w:rsidRPr="0061020E">
        <w:rPr>
          <w:rFonts w:ascii="Rockwell" w:hAnsi="Rockwell"/>
          <w:sz w:val="24"/>
          <w:szCs w:val="24"/>
        </w:rPr>
        <w:t xml:space="preserve"> : la réception se fait sur la base de caractéristiques intrinsèques perceptibles du produit, en temps réel, sans préalable ;</w:t>
      </w:r>
    </w:p>
    <w:p w:rsidR="003D4C59" w:rsidRPr="0061020E" w:rsidRDefault="003D4C59" w:rsidP="008F6018">
      <w:pPr>
        <w:pStyle w:val="Paragraphedeliste"/>
        <w:numPr>
          <w:ilvl w:val="0"/>
          <w:numId w:val="105"/>
        </w:numPr>
        <w:spacing w:after="120" w:line="240" w:lineRule="auto"/>
        <w:jc w:val="both"/>
        <w:rPr>
          <w:rFonts w:ascii="Rockwell" w:hAnsi="Rockwell"/>
          <w:sz w:val="24"/>
          <w:szCs w:val="24"/>
        </w:rPr>
      </w:pPr>
      <w:r w:rsidRPr="0061020E">
        <w:rPr>
          <w:rFonts w:ascii="Rockwell" w:hAnsi="Rockwell"/>
          <w:sz w:val="24"/>
          <w:szCs w:val="24"/>
        </w:rPr>
        <w:t xml:space="preserve">garantie : elle peut résulter soit d'une disposition légale, soit des conditions générales de vente du fournisseur, soit </w:t>
      </w:r>
      <w:r w:rsidR="00E0599F">
        <w:rPr>
          <w:rFonts w:ascii="Rockwell" w:hAnsi="Rockwell"/>
          <w:sz w:val="24"/>
          <w:szCs w:val="24"/>
        </w:rPr>
        <w:t xml:space="preserve">encore </w:t>
      </w:r>
      <w:r w:rsidRPr="0061020E">
        <w:rPr>
          <w:rFonts w:ascii="Rockwell" w:hAnsi="Rockwell"/>
          <w:sz w:val="24"/>
          <w:szCs w:val="24"/>
        </w:rPr>
        <w:t>d'une clause ad</w:t>
      </w:r>
      <w:r w:rsidR="003778B3" w:rsidRPr="0061020E">
        <w:rPr>
          <w:rFonts w:ascii="Rockwell" w:hAnsi="Rockwell"/>
          <w:sz w:val="24"/>
          <w:szCs w:val="24"/>
        </w:rPr>
        <w:t>ministrative prévue au marché. E</w:t>
      </w:r>
      <w:r w:rsidRPr="0061020E">
        <w:rPr>
          <w:rFonts w:ascii="Rockwell" w:hAnsi="Rockwell"/>
          <w:sz w:val="24"/>
          <w:szCs w:val="24"/>
        </w:rPr>
        <w:t>lle est une option suffisante</w:t>
      </w:r>
      <w:r w:rsidR="00E0599F">
        <w:rPr>
          <w:rFonts w:ascii="Rockwell" w:hAnsi="Rockwell"/>
          <w:sz w:val="24"/>
          <w:szCs w:val="24"/>
        </w:rPr>
        <w:t>,</w:t>
      </w:r>
      <w:r w:rsidRPr="0061020E">
        <w:rPr>
          <w:rFonts w:ascii="Rockwell" w:hAnsi="Rockwell"/>
          <w:sz w:val="24"/>
          <w:szCs w:val="24"/>
        </w:rPr>
        <w:t xml:space="preserve"> si l'apparition des défauts prévisibles est présumée rapide et si une défaillance est acceptable (une garantie contractuelle de longue durée est souvent onéreuse, sauf si le marché d'acquisition du produit est associé à un marché de maintenance</w:t>
      </w:r>
      <w:r w:rsidR="003778B3" w:rsidRPr="0061020E">
        <w:rPr>
          <w:rFonts w:ascii="Rockwell" w:hAnsi="Rockwell"/>
          <w:sz w:val="24"/>
          <w:szCs w:val="24"/>
        </w:rPr>
        <w:t>)</w:t>
      </w:r>
      <w:r w:rsidRPr="0061020E">
        <w:rPr>
          <w:rFonts w:ascii="Rockwell" w:hAnsi="Rockwell"/>
          <w:sz w:val="24"/>
          <w:szCs w:val="24"/>
        </w:rPr>
        <w:t xml:space="preserve"> ;</w:t>
      </w:r>
    </w:p>
    <w:p w:rsidR="002E6B83" w:rsidRPr="0061020E" w:rsidRDefault="002E6B83" w:rsidP="008F6018">
      <w:pPr>
        <w:pStyle w:val="Paragraphedeliste"/>
        <w:numPr>
          <w:ilvl w:val="0"/>
          <w:numId w:val="105"/>
        </w:numPr>
        <w:spacing w:after="120" w:line="240" w:lineRule="auto"/>
        <w:jc w:val="both"/>
        <w:rPr>
          <w:rFonts w:ascii="Rockwell" w:hAnsi="Rockwell"/>
          <w:sz w:val="24"/>
          <w:szCs w:val="24"/>
        </w:rPr>
      </w:pPr>
      <w:r w:rsidRPr="0061020E">
        <w:rPr>
          <w:rFonts w:ascii="Rockwell" w:hAnsi="Rockwell"/>
          <w:sz w:val="24"/>
          <w:szCs w:val="24"/>
        </w:rPr>
        <w:t>exigence d'une déclaration de conformité du fournisseur ;</w:t>
      </w:r>
    </w:p>
    <w:p w:rsidR="002E6B83" w:rsidRPr="0061020E" w:rsidRDefault="002E6B83" w:rsidP="008F6018">
      <w:pPr>
        <w:pStyle w:val="Paragraphedeliste"/>
        <w:numPr>
          <w:ilvl w:val="0"/>
          <w:numId w:val="105"/>
        </w:numPr>
        <w:spacing w:after="120" w:line="240" w:lineRule="auto"/>
        <w:jc w:val="both"/>
        <w:rPr>
          <w:rFonts w:ascii="Rockwell" w:hAnsi="Rockwell"/>
          <w:sz w:val="24"/>
          <w:szCs w:val="24"/>
        </w:rPr>
      </w:pPr>
      <w:r w:rsidRPr="0061020E">
        <w:rPr>
          <w:rFonts w:ascii="Rockwell" w:hAnsi="Rockwell"/>
          <w:sz w:val="24"/>
          <w:szCs w:val="24"/>
        </w:rPr>
        <w:t>exigence d'un ou plusieurs certificat</w:t>
      </w:r>
      <w:r w:rsidR="009C1094">
        <w:rPr>
          <w:rFonts w:ascii="Rockwell" w:hAnsi="Rockwell"/>
          <w:sz w:val="24"/>
          <w:szCs w:val="24"/>
        </w:rPr>
        <w:t>(</w:t>
      </w:r>
      <w:r w:rsidR="00AB7B50">
        <w:rPr>
          <w:rFonts w:ascii="Rockwell" w:hAnsi="Rockwell"/>
          <w:sz w:val="24"/>
          <w:szCs w:val="24"/>
        </w:rPr>
        <w:t>s</w:t>
      </w:r>
      <w:r w:rsidR="009C1094">
        <w:rPr>
          <w:rFonts w:ascii="Rockwell" w:hAnsi="Rockwell"/>
          <w:sz w:val="24"/>
          <w:szCs w:val="24"/>
        </w:rPr>
        <w:t>)</w:t>
      </w:r>
      <w:r w:rsidRPr="0061020E">
        <w:rPr>
          <w:rFonts w:ascii="Rockwell" w:hAnsi="Rockwell"/>
          <w:sz w:val="24"/>
          <w:szCs w:val="24"/>
        </w:rPr>
        <w:t xml:space="preserve"> d'essai ou d'analyse ;</w:t>
      </w:r>
    </w:p>
    <w:p w:rsidR="002E6B83" w:rsidRPr="0061020E" w:rsidRDefault="002E6B83" w:rsidP="008F6018">
      <w:pPr>
        <w:pStyle w:val="Paragraphedeliste"/>
        <w:numPr>
          <w:ilvl w:val="0"/>
          <w:numId w:val="105"/>
        </w:numPr>
        <w:spacing w:after="120" w:line="240" w:lineRule="auto"/>
        <w:jc w:val="both"/>
        <w:rPr>
          <w:rFonts w:ascii="Rockwell" w:hAnsi="Rockwell"/>
          <w:sz w:val="24"/>
          <w:szCs w:val="24"/>
        </w:rPr>
      </w:pPr>
      <w:r w:rsidRPr="0061020E">
        <w:rPr>
          <w:rFonts w:ascii="Rockwell" w:hAnsi="Rockwell"/>
          <w:sz w:val="24"/>
          <w:szCs w:val="24"/>
        </w:rPr>
        <w:t xml:space="preserve">exigence d'un contrôle final : le fournisseur exerce lui-même un contrôle à 100% ou par échantillonnage, ou bien </w:t>
      </w:r>
      <w:r w:rsidR="00E0599F">
        <w:rPr>
          <w:rFonts w:ascii="Rockwell" w:hAnsi="Rockwell"/>
          <w:sz w:val="24"/>
          <w:szCs w:val="24"/>
        </w:rPr>
        <w:t xml:space="preserve">à la </w:t>
      </w:r>
      <w:r w:rsidRPr="0061020E">
        <w:rPr>
          <w:rFonts w:ascii="Rockwell" w:hAnsi="Rockwell"/>
          <w:sz w:val="24"/>
          <w:szCs w:val="24"/>
        </w:rPr>
        <w:t>charge d'un mandataire (laboratoire d'essai ou d'analyse, etc.). Au Burkina Faso, les institutions d'évaluation de la conformité spécialisées selon les types de fournitures, et dont les certificats sont exigibles dans le cadre des ma</w:t>
      </w:r>
      <w:r w:rsidR="00BC4B72">
        <w:rPr>
          <w:rFonts w:ascii="Rockwell" w:hAnsi="Rockwell"/>
          <w:sz w:val="24"/>
          <w:szCs w:val="24"/>
        </w:rPr>
        <w:t>rchés publics, sont listées en a</w:t>
      </w:r>
      <w:r w:rsidRPr="0061020E">
        <w:rPr>
          <w:rFonts w:ascii="Rockwell" w:hAnsi="Rockwell"/>
          <w:sz w:val="24"/>
          <w:szCs w:val="24"/>
        </w:rPr>
        <w:t>nnexe II du présent document.</w:t>
      </w:r>
    </w:p>
    <w:p w:rsidR="002E6B83" w:rsidRPr="0061020E" w:rsidRDefault="002E6B83" w:rsidP="008F6018">
      <w:pPr>
        <w:pStyle w:val="Paragraphedeliste"/>
        <w:spacing w:after="120" w:line="240" w:lineRule="auto"/>
        <w:jc w:val="both"/>
        <w:rPr>
          <w:rFonts w:ascii="Rockwell" w:hAnsi="Rockwell"/>
          <w:sz w:val="24"/>
          <w:szCs w:val="24"/>
        </w:rPr>
      </w:pPr>
    </w:p>
    <w:p w:rsidR="00452B30" w:rsidRPr="00FA49BF" w:rsidRDefault="00452B30" w:rsidP="008F6018">
      <w:pPr>
        <w:pStyle w:val="Titre3"/>
        <w:numPr>
          <w:ilvl w:val="0"/>
          <w:numId w:val="89"/>
        </w:numPr>
        <w:spacing w:before="0" w:after="120" w:line="240" w:lineRule="auto"/>
        <w:jc w:val="both"/>
        <w:rPr>
          <w:rFonts w:ascii="Rockwell" w:hAnsi="Rockwell"/>
          <w:color w:val="auto"/>
          <w:sz w:val="24"/>
          <w:szCs w:val="24"/>
        </w:rPr>
      </w:pPr>
      <w:bookmarkStart w:id="51" w:name="_Toc505063273"/>
      <w:r w:rsidRPr="00FA49BF">
        <w:rPr>
          <w:rFonts w:ascii="Rockwell" w:hAnsi="Rockwell"/>
          <w:color w:val="auto"/>
          <w:sz w:val="24"/>
          <w:szCs w:val="24"/>
        </w:rPr>
        <w:t>Principales options possibles pour les exigences en matière d'assurance de la qualité</w:t>
      </w:r>
      <w:bookmarkEnd w:id="51"/>
    </w:p>
    <w:p w:rsidR="004B1B0E" w:rsidRPr="0061020E" w:rsidRDefault="004B1B0E"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Il convient désormais</w:t>
      </w:r>
      <w:r w:rsidR="00E0599F">
        <w:rPr>
          <w:rFonts w:ascii="Rockwell" w:hAnsi="Rockwell"/>
          <w:sz w:val="24"/>
          <w:szCs w:val="24"/>
        </w:rPr>
        <w:t>,</w:t>
      </w:r>
      <w:r w:rsidRPr="0061020E">
        <w:rPr>
          <w:rFonts w:ascii="Rockwell" w:hAnsi="Rockwell"/>
          <w:sz w:val="24"/>
          <w:szCs w:val="24"/>
        </w:rPr>
        <w:t xml:space="preserve"> que toutes les entreprises </w:t>
      </w:r>
      <w:r w:rsidR="00BD5C84" w:rsidRPr="0061020E">
        <w:rPr>
          <w:rFonts w:ascii="Rockwell" w:hAnsi="Rockwell"/>
          <w:sz w:val="24"/>
          <w:szCs w:val="24"/>
        </w:rPr>
        <w:t xml:space="preserve"> puissent </w:t>
      </w:r>
      <w:r w:rsidRPr="0061020E">
        <w:rPr>
          <w:rFonts w:ascii="Rockwell" w:hAnsi="Rockwell"/>
          <w:sz w:val="24"/>
          <w:szCs w:val="24"/>
        </w:rPr>
        <w:t>justifi</w:t>
      </w:r>
      <w:r w:rsidR="00BD5C84" w:rsidRPr="0061020E">
        <w:rPr>
          <w:rFonts w:ascii="Rockwell" w:hAnsi="Rockwell"/>
          <w:sz w:val="24"/>
          <w:szCs w:val="24"/>
        </w:rPr>
        <w:t>er</w:t>
      </w:r>
      <w:r w:rsidRPr="0061020E">
        <w:rPr>
          <w:rFonts w:ascii="Rockwell" w:hAnsi="Rockwell"/>
          <w:sz w:val="24"/>
          <w:szCs w:val="24"/>
        </w:rPr>
        <w:t xml:space="preserve"> </w:t>
      </w:r>
      <w:r w:rsidR="00161255" w:rsidRPr="0061020E">
        <w:rPr>
          <w:rFonts w:ascii="Rockwell" w:hAnsi="Rockwell"/>
          <w:sz w:val="24"/>
          <w:szCs w:val="24"/>
        </w:rPr>
        <w:t xml:space="preserve">d'un minimum d'organisation relative au management de la qualité. Les </w:t>
      </w:r>
      <w:r w:rsidR="000919A7" w:rsidRPr="0061020E">
        <w:rPr>
          <w:rFonts w:ascii="Rockwell" w:hAnsi="Rockwell"/>
          <w:sz w:val="24"/>
          <w:szCs w:val="24"/>
        </w:rPr>
        <w:t xml:space="preserve">exigences et les </w:t>
      </w:r>
      <w:r w:rsidR="00161255" w:rsidRPr="0061020E">
        <w:rPr>
          <w:rFonts w:ascii="Rockwell" w:hAnsi="Rockwell"/>
          <w:sz w:val="24"/>
          <w:szCs w:val="24"/>
        </w:rPr>
        <w:t>preuves</w:t>
      </w:r>
      <w:r w:rsidR="000919A7" w:rsidRPr="0061020E">
        <w:rPr>
          <w:rFonts w:ascii="Rockwell" w:hAnsi="Rockwell"/>
          <w:sz w:val="24"/>
          <w:szCs w:val="24"/>
        </w:rPr>
        <w:t xml:space="preserve"> de cette disposition dans le cadre des marchés publics sont abordées dans l</w:t>
      </w:r>
      <w:r w:rsidR="00A04029" w:rsidRPr="0061020E">
        <w:rPr>
          <w:rFonts w:ascii="Rockwell" w:hAnsi="Rockwell"/>
          <w:sz w:val="24"/>
          <w:szCs w:val="24"/>
        </w:rPr>
        <w:t>a partie II</w:t>
      </w:r>
      <w:r w:rsidR="00865FC1" w:rsidRPr="0061020E">
        <w:rPr>
          <w:rFonts w:ascii="Rockwell" w:hAnsi="Rockwell"/>
          <w:sz w:val="24"/>
          <w:szCs w:val="24"/>
        </w:rPr>
        <w:t>I</w:t>
      </w:r>
      <w:r w:rsidR="00A04029" w:rsidRPr="0061020E">
        <w:rPr>
          <w:rFonts w:ascii="Rockwell" w:hAnsi="Rockwell"/>
          <w:sz w:val="24"/>
          <w:szCs w:val="24"/>
        </w:rPr>
        <w:t xml:space="preserve"> du présent Guide, </w:t>
      </w:r>
      <w:r w:rsidR="00955543" w:rsidRPr="0061020E">
        <w:rPr>
          <w:rFonts w:ascii="Rockwell" w:hAnsi="Rockwell"/>
          <w:b/>
          <w:sz w:val="24"/>
          <w:szCs w:val="24"/>
        </w:rPr>
        <w:t>exigences minimales en matière de gestion de la qualité</w:t>
      </w:r>
      <w:r w:rsidR="00A04029" w:rsidRPr="0061020E">
        <w:rPr>
          <w:rFonts w:ascii="Rockwell" w:hAnsi="Rockwell"/>
          <w:sz w:val="24"/>
          <w:szCs w:val="24"/>
        </w:rPr>
        <w:t>.</w:t>
      </w:r>
    </w:p>
    <w:p w:rsidR="00577501" w:rsidRPr="0061020E" w:rsidRDefault="00577501"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Les principales options sont énumérées</w:t>
      </w:r>
      <w:r w:rsidR="00E0599F">
        <w:rPr>
          <w:rFonts w:ascii="Rockwell" w:hAnsi="Rockwell"/>
          <w:sz w:val="24"/>
          <w:szCs w:val="24"/>
        </w:rPr>
        <w:t>,</w:t>
      </w:r>
      <w:r w:rsidRPr="0061020E">
        <w:rPr>
          <w:rFonts w:ascii="Rockwell" w:hAnsi="Rockwell"/>
          <w:sz w:val="24"/>
          <w:szCs w:val="24"/>
        </w:rPr>
        <w:t xml:space="preserve"> ainsi qu'il suit, par ordre de sévérité croissante :</w:t>
      </w:r>
    </w:p>
    <w:p w:rsidR="00BD0D54" w:rsidRPr="0061020E" w:rsidRDefault="00577501" w:rsidP="008F6018">
      <w:pPr>
        <w:spacing w:after="120" w:line="240" w:lineRule="auto"/>
        <w:jc w:val="both"/>
        <w:rPr>
          <w:rFonts w:ascii="Rockwell" w:hAnsi="Rockwell"/>
          <w:sz w:val="24"/>
          <w:szCs w:val="24"/>
        </w:rPr>
      </w:pPr>
      <w:r w:rsidRPr="0061020E">
        <w:rPr>
          <w:rFonts w:ascii="Rockwell" w:hAnsi="Rockwell"/>
          <w:sz w:val="24"/>
          <w:szCs w:val="24"/>
        </w:rPr>
        <w:t>- pas de clause contractuelle d'assurance de la qualité (lorsque le risque de non qualité est négligeable ou qu'un certificat de produit (cf. paragraphe précédent) apporte une confiance suffisante) ;</w:t>
      </w:r>
    </w:p>
    <w:p w:rsidR="00577501" w:rsidRPr="0061020E" w:rsidRDefault="00577501" w:rsidP="008F6018">
      <w:pPr>
        <w:spacing w:after="120" w:line="240" w:lineRule="auto"/>
        <w:jc w:val="both"/>
        <w:rPr>
          <w:rFonts w:ascii="Rockwell" w:hAnsi="Rockwell"/>
          <w:sz w:val="24"/>
          <w:szCs w:val="24"/>
        </w:rPr>
      </w:pPr>
      <w:r w:rsidRPr="0061020E">
        <w:rPr>
          <w:rFonts w:ascii="Rockwell" w:hAnsi="Rockwell"/>
          <w:sz w:val="24"/>
          <w:szCs w:val="24"/>
        </w:rPr>
        <w:t>- exigence limitée à un plan d'assurance qualité : assurance de la qualité très simplifiée</w:t>
      </w:r>
      <w:r w:rsidR="009C1094">
        <w:rPr>
          <w:rFonts w:ascii="Rockwell" w:hAnsi="Rockwell"/>
          <w:sz w:val="24"/>
          <w:szCs w:val="24"/>
        </w:rPr>
        <w:t>,</w:t>
      </w:r>
      <w:r w:rsidRPr="0061020E">
        <w:rPr>
          <w:rFonts w:ascii="Rockwell" w:hAnsi="Rockwell"/>
          <w:sz w:val="24"/>
          <w:szCs w:val="24"/>
        </w:rPr>
        <w:t xml:space="preserve"> dès lors que le plan n'est pas associé à un système qualité ;</w:t>
      </w:r>
    </w:p>
    <w:p w:rsidR="00577501" w:rsidRPr="0061020E" w:rsidRDefault="00577501" w:rsidP="008F6018">
      <w:pPr>
        <w:spacing w:after="120" w:line="240" w:lineRule="auto"/>
        <w:jc w:val="both"/>
        <w:rPr>
          <w:rFonts w:ascii="Rockwell" w:hAnsi="Rockwell"/>
          <w:sz w:val="24"/>
          <w:szCs w:val="24"/>
        </w:rPr>
      </w:pPr>
      <w:r w:rsidRPr="0061020E">
        <w:rPr>
          <w:rFonts w:ascii="Rockwell" w:hAnsi="Rockwell"/>
          <w:sz w:val="24"/>
          <w:szCs w:val="24"/>
        </w:rPr>
        <w:t>- exigence d'un système qualité selon l'un des modèles normalisés, à défaut de certificat de produit :</w:t>
      </w:r>
    </w:p>
    <w:p w:rsidR="00577501" w:rsidRPr="0061020E" w:rsidRDefault="00577501" w:rsidP="008F6018">
      <w:pPr>
        <w:spacing w:after="120" w:line="240" w:lineRule="auto"/>
        <w:jc w:val="both"/>
        <w:rPr>
          <w:rFonts w:ascii="Rockwell" w:hAnsi="Rockwell"/>
          <w:sz w:val="24"/>
          <w:szCs w:val="24"/>
        </w:rPr>
      </w:pPr>
      <w:r w:rsidRPr="0061020E">
        <w:rPr>
          <w:rFonts w:ascii="Rockwell" w:hAnsi="Rockwell"/>
          <w:sz w:val="24"/>
          <w:szCs w:val="24"/>
        </w:rPr>
        <w:tab/>
        <w:t xml:space="preserve">* </w:t>
      </w:r>
      <w:r w:rsidR="009F2249" w:rsidRPr="0061020E">
        <w:rPr>
          <w:rFonts w:ascii="Rockwell" w:hAnsi="Rockwell"/>
          <w:sz w:val="24"/>
          <w:szCs w:val="24"/>
        </w:rPr>
        <w:t xml:space="preserve">modèle 3 : ISO 9003 : "contrôle final seulement", à utiliser lorsque le contrôle final suffit </w:t>
      </w:r>
      <w:r w:rsidR="00E0599F">
        <w:rPr>
          <w:rFonts w:ascii="Rockwell" w:hAnsi="Rockwell"/>
          <w:sz w:val="24"/>
          <w:szCs w:val="24"/>
        </w:rPr>
        <w:t>à</w:t>
      </w:r>
      <w:r w:rsidR="009F2249" w:rsidRPr="0061020E">
        <w:rPr>
          <w:rFonts w:ascii="Rockwell" w:hAnsi="Rockwell"/>
          <w:sz w:val="24"/>
          <w:szCs w:val="24"/>
        </w:rPr>
        <w:t xml:space="preserve"> démontrer la qualité ;</w:t>
      </w:r>
    </w:p>
    <w:p w:rsidR="009F2249" w:rsidRPr="0061020E" w:rsidRDefault="009F2249" w:rsidP="008F6018">
      <w:pPr>
        <w:spacing w:after="120" w:line="240" w:lineRule="auto"/>
        <w:jc w:val="both"/>
        <w:rPr>
          <w:rFonts w:ascii="Rockwell" w:hAnsi="Rockwell"/>
          <w:sz w:val="24"/>
          <w:szCs w:val="24"/>
        </w:rPr>
      </w:pPr>
      <w:r w:rsidRPr="0061020E">
        <w:rPr>
          <w:rFonts w:ascii="Rockwell" w:hAnsi="Rockwell"/>
          <w:sz w:val="24"/>
          <w:szCs w:val="24"/>
        </w:rPr>
        <w:tab/>
        <w:t>* modèle 2 : ISO 9002 : "de la fabrication à la livraison", à utiliser</w:t>
      </w:r>
      <w:r w:rsidR="00E0599F">
        <w:rPr>
          <w:rFonts w:ascii="Rockwell" w:hAnsi="Rockwell"/>
          <w:sz w:val="24"/>
          <w:szCs w:val="24"/>
        </w:rPr>
        <w:t>,</w:t>
      </w:r>
      <w:r w:rsidRPr="0061020E">
        <w:rPr>
          <w:rFonts w:ascii="Rockwell" w:hAnsi="Rockwell"/>
          <w:sz w:val="24"/>
          <w:szCs w:val="24"/>
        </w:rPr>
        <w:t xml:space="preserve"> lorsque le contrôle final ne suffit pas et lorsque la fourniture ne comprend pas de conception particulière ou de développement ;</w:t>
      </w:r>
    </w:p>
    <w:p w:rsidR="009F2249" w:rsidRPr="0061020E" w:rsidRDefault="009F2249" w:rsidP="008F6018">
      <w:pPr>
        <w:spacing w:after="120" w:line="240" w:lineRule="auto"/>
        <w:jc w:val="both"/>
        <w:rPr>
          <w:rFonts w:ascii="Rockwell" w:hAnsi="Rockwell"/>
          <w:sz w:val="24"/>
          <w:szCs w:val="24"/>
        </w:rPr>
      </w:pPr>
      <w:r w:rsidRPr="0061020E">
        <w:rPr>
          <w:rFonts w:ascii="Rockwell" w:hAnsi="Rockwell"/>
          <w:sz w:val="24"/>
          <w:szCs w:val="24"/>
        </w:rPr>
        <w:tab/>
        <w:t>*modèle 1 : ISO 9001 : "de la conception à la livraison", à utiliser</w:t>
      </w:r>
      <w:r w:rsidR="00E0599F">
        <w:rPr>
          <w:rFonts w:ascii="Rockwell" w:hAnsi="Rockwell"/>
          <w:sz w:val="24"/>
          <w:szCs w:val="24"/>
        </w:rPr>
        <w:t>,</w:t>
      </w:r>
      <w:r w:rsidRPr="0061020E">
        <w:rPr>
          <w:rFonts w:ascii="Rockwell" w:hAnsi="Rockwell"/>
          <w:sz w:val="24"/>
          <w:szCs w:val="24"/>
        </w:rPr>
        <w:t xml:space="preserve"> lorsque la fourniture comprend de la conception ou du développement.</w:t>
      </w:r>
    </w:p>
    <w:p w:rsidR="00BD0D54" w:rsidRPr="0061020E" w:rsidRDefault="00B73B0A" w:rsidP="008F6018">
      <w:pPr>
        <w:spacing w:after="120" w:line="240" w:lineRule="auto"/>
        <w:jc w:val="both"/>
        <w:rPr>
          <w:rFonts w:ascii="Rockwell" w:hAnsi="Rockwell"/>
          <w:sz w:val="24"/>
          <w:szCs w:val="24"/>
        </w:rPr>
      </w:pPr>
      <w:r w:rsidRPr="00FA49BF">
        <w:rPr>
          <w:rFonts w:ascii="Rockwell" w:hAnsi="Rockwell"/>
          <w:b/>
          <w:sz w:val="24"/>
          <w:szCs w:val="24"/>
          <w:highlight w:val="magenta"/>
        </w:rPr>
        <w:t>NB.</w:t>
      </w:r>
      <w:r w:rsidRPr="007A69B2">
        <w:rPr>
          <w:rFonts w:ascii="Rockwell" w:hAnsi="Rockwell"/>
          <w:sz w:val="24"/>
          <w:szCs w:val="24"/>
          <w:highlight w:val="magenta"/>
        </w:rPr>
        <w:t xml:space="preserve"> Il s'agira simplement d'une obligation de pouvoir justifier d'une organisation d'assurance de la qualité conforme au référentiel choisi et non d'une obligation de fournir un certificat de système qualité.</w:t>
      </w:r>
    </w:p>
    <w:p w:rsidR="00452B30" w:rsidRPr="00FA49BF" w:rsidRDefault="00452B30" w:rsidP="008F6018">
      <w:pPr>
        <w:pStyle w:val="Titre3"/>
        <w:numPr>
          <w:ilvl w:val="0"/>
          <w:numId w:val="89"/>
        </w:numPr>
        <w:spacing w:before="0" w:after="120" w:line="240" w:lineRule="auto"/>
        <w:jc w:val="both"/>
        <w:rPr>
          <w:rFonts w:ascii="Rockwell" w:hAnsi="Rockwell"/>
          <w:color w:val="auto"/>
          <w:sz w:val="24"/>
          <w:szCs w:val="24"/>
        </w:rPr>
      </w:pPr>
      <w:bookmarkStart w:id="52" w:name="_Toc505063274"/>
      <w:r w:rsidRPr="00FA49BF">
        <w:rPr>
          <w:rFonts w:ascii="Rockwell" w:hAnsi="Rockwell"/>
          <w:color w:val="auto"/>
          <w:sz w:val="24"/>
          <w:szCs w:val="24"/>
        </w:rPr>
        <w:lastRenderedPageBreak/>
        <w:t xml:space="preserve">Choix des exigences de conformité : preuve de </w:t>
      </w:r>
      <w:r w:rsidR="00E0599F">
        <w:rPr>
          <w:rFonts w:ascii="Rockwell" w:hAnsi="Rockwell"/>
          <w:color w:val="auto"/>
          <w:sz w:val="24"/>
          <w:szCs w:val="24"/>
        </w:rPr>
        <w:t xml:space="preserve">la </w:t>
      </w:r>
      <w:r w:rsidRPr="00FA49BF">
        <w:rPr>
          <w:rFonts w:ascii="Rockwell" w:hAnsi="Rockwell"/>
          <w:color w:val="auto"/>
          <w:sz w:val="24"/>
          <w:szCs w:val="24"/>
        </w:rPr>
        <w:t>conformité du produit et assurance de la qualité</w:t>
      </w:r>
      <w:bookmarkEnd w:id="52"/>
    </w:p>
    <w:p w:rsidR="00B73B0A" w:rsidRPr="0061020E" w:rsidRDefault="00B73B0A" w:rsidP="008F6018">
      <w:pPr>
        <w:spacing w:after="120" w:line="240" w:lineRule="auto"/>
        <w:jc w:val="both"/>
        <w:rPr>
          <w:rFonts w:ascii="Rockwell" w:hAnsi="Rockwell"/>
          <w:sz w:val="24"/>
          <w:szCs w:val="24"/>
        </w:rPr>
      </w:pPr>
      <w:r w:rsidRPr="0061020E">
        <w:rPr>
          <w:rFonts w:ascii="Rockwell" w:hAnsi="Rockwell"/>
          <w:sz w:val="24"/>
          <w:szCs w:val="24"/>
        </w:rPr>
        <w:t>En règle générale, les exigences doivent être proporti</w:t>
      </w:r>
      <w:r w:rsidR="007A69B2">
        <w:rPr>
          <w:rFonts w:ascii="Rockwell" w:hAnsi="Rockwell"/>
          <w:sz w:val="24"/>
          <w:szCs w:val="24"/>
        </w:rPr>
        <w:t xml:space="preserve">onnelles aux risques encourus : </w:t>
      </w:r>
      <w:r w:rsidRPr="0061020E">
        <w:rPr>
          <w:rFonts w:ascii="Rockwell" w:hAnsi="Rockwell"/>
          <w:sz w:val="24"/>
          <w:szCs w:val="24"/>
        </w:rPr>
        <w:t>l'étude des risques permet de déterminer les caractéristiques du produit les plus importantes parmi celles spécifiées et les exigences appropriées de conformité correspondantes.</w:t>
      </w:r>
    </w:p>
    <w:p w:rsidR="00B73B0A" w:rsidRPr="0061020E" w:rsidRDefault="00B73B0A" w:rsidP="008F6018">
      <w:pPr>
        <w:spacing w:after="120" w:line="240" w:lineRule="auto"/>
        <w:jc w:val="both"/>
        <w:rPr>
          <w:rFonts w:ascii="Rockwell" w:hAnsi="Rockwell"/>
          <w:sz w:val="24"/>
          <w:szCs w:val="24"/>
        </w:rPr>
      </w:pPr>
      <w:r w:rsidRPr="0061020E">
        <w:rPr>
          <w:rFonts w:ascii="Rockwell" w:hAnsi="Rockwell"/>
          <w:sz w:val="24"/>
          <w:szCs w:val="24"/>
        </w:rPr>
        <w:t>Les dépenses directes d'obtention de la qualité sont généralement</w:t>
      </w:r>
      <w:r w:rsidR="00E0599F">
        <w:rPr>
          <w:rFonts w:ascii="Rockwell" w:hAnsi="Rockwell"/>
          <w:sz w:val="24"/>
          <w:szCs w:val="24"/>
        </w:rPr>
        <w:t>,</w:t>
      </w:r>
      <w:r w:rsidRPr="0061020E">
        <w:rPr>
          <w:rFonts w:ascii="Rockwell" w:hAnsi="Rockwell"/>
          <w:sz w:val="24"/>
          <w:szCs w:val="24"/>
        </w:rPr>
        <w:t xml:space="preserve"> minimes</w:t>
      </w:r>
      <w:r w:rsidR="00E0599F">
        <w:rPr>
          <w:rFonts w:ascii="Rockwell" w:hAnsi="Rockwell"/>
          <w:sz w:val="24"/>
          <w:szCs w:val="24"/>
        </w:rPr>
        <w:t>,</w:t>
      </w:r>
      <w:r w:rsidRPr="0061020E">
        <w:rPr>
          <w:rFonts w:ascii="Rockwell" w:hAnsi="Rockwell"/>
          <w:sz w:val="24"/>
          <w:szCs w:val="24"/>
        </w:rPr>
        <w:t xml:space="preserve"> </w:t>
      </w:r>
      <w:r w:rsidR="00C000AB" w:rsidRPr="0061020E">
        <w:rPr>
          <w:rFonts w:ascii="Rockwell" w:hAnsi="Rockwell"/>
          <w:sz w:val="24"/>
          <w:szCs w:val="24"/>
        </w:rPr>
        <w:t>au</w:t>
      </w:r>
      <w:r w:rsidRPr="0061020E">
        <w:rPr>
          <w:rFonts w:ascii="Rockwell" w:hAnsi="Rockwell"/>
          <w:sz w:val="24"/>
          <w:szCs w:val="24"/>
        </w:rPr>
        <w:t xml:space="preserve"> regard des dépenses indirectes élevées provoquées par un défaut de qualité ou une non qualité.</w:t>
      </w:r>
    </w:p>
    <w:p w:rsidR="00B73B0A" w:rsidRPr="0061020E" w:rsidRDefault="00B73B0A" w:rsidP="008F6018">
      <w:pPr>
        <w:spacing w:after="120" w:line="240" w:lineRule="auto"/>
        <w:jc w:val="both"/>
        <w:rPr>
          <w:rFonts w:ascii="Rockwell" w:hAnsi="Rockwell"/>
          <w:sz w:val="24"/>
          <w:szCs w:val="24"/>
        </w:rPr>
      </w:pPr>
      <w:r w:rsidRPr="0061020E">
        <w:rPr>
          <w:rFonts w:ascii="Rockwell" w:hAnsi="Rockwell"/>
          <w:sz w:val="24"/>
          <w:szCs w:val="24"/>
        </w:rPr>
        <w:t>Cependant</w:t>
      </w:r>
      <w:r w:rsidR="00E0599F">
        <w:rPr>
          <w:rFonts w:ascii="Rockwell" w:hAnsi="Rockwell"/>
          <w:sz w:val="24"/>
          <w:szCs w:val="24"/>
        </w:rPr>
        <w:t>,</w:t>
      </w:r>
      <w:r w:rsidRPr="0061020E">
        <w:rPr>
          <w:rFonts w:ascii="Rockwell" w:hAnsi="Rockwell"/>
          <w:sz w:val="24"/>
          <w:szCs w:val="24"/>
        </w:rPr>
        <w:t xml:space="preserve"> les exigences de conformité sont sus</w:t>
      </w:r>
      <w:r w:rsidR="00D666FA" w:rsidRPr="0061020E">
        <w:rPr>
          <w:rFonts w:ascii="Rockwell" w:hAnsi="Rockwell"/>
          <w:sz w:val="24"/>
          <w:szCs w:val="24"/>
        </w:rPr>
        <w:t>ceptibles d'entra</w:t>
      </w:r>
      <w:r w:rsidR="00E0599F">
        <w:rPr>
          <w:rFonts w:ascii="Rockwell" w:hAnsi="Rockwell"/>
          <w:sz w:val="24"/>
          <w:szCs w:val="24"/>
        </w:rPr>
        <w:t>î</w:t>
      </w:r>
      <w:r w:rsidR="00D666FA" w:rsidRPr="0061020E">
        <w:rPr>
          <w:rFonts w:ascii="Rockwell" w:hAnsi="Rockwell"/>
          <w:sz w:val="24"/>
          <w:szCs w:val="24"/>
        </w:rPr>
        <w:t>ner des dépenses importantes</w:t>
      </w:r>
      <w:r w:rsidR="00E0599F">
        <w:rPr>
          <w:rFonts w:ascii="Rockwell" w:hAnsi="Rockwell"/>
          <w:sz w:val="24"/>
          <w:szCs w:val="24"/>
        </w:rPr>
        <w:t>,</w:t>
      </w:r>
      <w:r w:rsidR="00D666FA" w:rsidRPr="0061020E">
        <w:rPr>
          <w:rFonts w:ascii="Rockwell" w:hAnsi="Rockwell"/>
          <w:sz w:val="24"/>
          <w:szCs w:val="24"/>
        </w:rPr>
        <w:t xml:space="preserve"> si elles sont inhabituelles pour le produit acheté : l'acheteur doit examiner si elles sont véritablement justifiées par des raisons de r</w:t>
      </w:r>
      <w:r w:rsidR="00E0599F">
        <w:rPr>
          <w:rFonts w:ascii="Rockwell" w:hAnsi="Rockwell"/>
          <w:sz w:val="24"/>
          <w:szCs w:val="24"/>
        </w:rPr>
        <w:t>é</w:t>
      </w:r>
      <w:r w:rsidR="00D666FA" w:rsidRPr="0061020E">
        <w:rPr>
          <w:rFonts w:ascii="Rockwell" w:hAnsi="Rockwell"/>
          <w:sz w:val="24"/>
          <w:szCs w:val="24"/>
        </w:rPr>
        <w:t>glementation, de risques</w:t>
      </w:r>
      <w:r w:rsidR="00E0599F">
        <w:rPr>
          <w:rFonts w:ascii="Rockwell" w:hAnsi="Rockwell"/>
          <w:sz w:val="24"/>
          <w:szCs w:val="24"/>
        </w:rPr>
        <w:t>,</w:t>
      </w:r>
      <w:r w:rsidR="00D666FA" w:rsidRPr="0061020E">
        <w:rPr>
          <w:rFonts w:ascii="Rockwell" w:hAnsi="Rockwell"/>
          <w:sz w:val="24"/>
          <w:szCs w:val="24"/>
        </w:rPr>
        <w:t xml:space="preserve"> notamment de sûreté, d'allègement de la surveillance par l'acheteur, d'impossibilité de procéder à des contrôles sur le produit fini, de traçabilité, de maintien de la qualité, de recherche de progrès technique, de réduction du coût global ou de maîtrise des délais.</w:t>
      </w:r>
    </w:p>
    <w:p w:rsidR="00B73B0A" w:rsidRPr="0061020E" w:rsidRDefault="00DA0AF0" w:rsidP="008F6018">
      <w:pPr>
        <w:spacing w:after="120" w:line="240" w:lineRule="auto"/>
        <w:jc w:val="both"/>
        <w:rPr>
          <w:rFonts w:ascii="Rockwell" w:hAnsi="Rockwell"/>
          <w:sz w:val="24"/>
          <w:szCs w:val="24"/>
        </w:rPr>
      </w:pPr>
      <w:r w:rsidRPr="0061020E">
        <w:rPr>
          <w:rFonts w:ascii="Rockwell" w:hAnsi="Rockwell"/>
          <w:sz w:val="24"/>
          <w:szCs w:val="24"/>
        </w:rPr>
        <w:t>Enfin</w:t>
      </w:r>
      <w:r w:rsidR="00E0599F">
        <w:rPr>
          <w:rFonts w:ascii="Rockwell" w:hAnsi="Rockwell"/>
          <w:sz w:val="24"/>
          <w:szCs w:val="24"/>
        </w:rPr>
        <w:t>,</w:t>
      </w:r>
      <w:r w:rsidRPr="0061020E">
        <w:rPr>
          <w:rFonts w:ascii="Rockwell" w:hAnsi="Rockwell"/>
          <w:sz w:val="24"/>
          <w:szCs w:val="24"/>
        </w:rPr>
        <w:t xml:space="preserve"> le choix des exigences de conformité dépend aussi</w:t>
      </w:r>
      <w:r w:rsidR="00E0599F">
        <w:rPr>
          <w:rFonts w:ascii="Rockwell" w:hAnsi="Rockwell"/>
          <w:sz w:val="24"/>
          <w:szCs w:val="24"/>
        </w:rPr>
        <w:t>,</w:t>
      </w:r>
      <w:r w:rsidRPr="0061020E">
        <w:rPr>
          <w:rFonts w:ascii="Rockwell" w:hAnsi="Rockwell"/>
          <w:sz w:val="24"/>
          <w:szCs w:val="24"/>
        </w:rPr>
        <w:t xml:space="preserve"> de la surveillance en cours de réalisation qu'il est prévu de mettre en </w:t>
      </w:r>
      <w:r w:rsidR="003778B3" w:rsidRPr="0061020E">
        <w:rPr>
          <w:rFonts w:ascii="Rockwell" w:hAnsi="Rockwell"/>
          <w:sz w:val="24"/>
          <w:szCs w:val="24"/>
        </w:rPr>
        <w:t>œuvre</w:t>
      </w:r>
      <w:r w:rsidRPr="0061020E">
        <w:rPr>
          <w:rFonts w:ascii="Rockwell" w:hAnsi="Rockwell"/>
          <w:sz w:val="24"/>
          <w:szCs w:val="24"/>
        </w:rPr>
        <w:t>.</w:t>
      </w:r>
    </w:p>
    <w:p w:rsidR="00DA0AF0" w:rsidRPr="0061020E" w:rsidRDefault="00DA0AF0" w:rsidP="008F6018">
      <w:pPr>
        <w:spacing w:after="120" w:line="240" w:lineRule="auto"/>
        <w:jc w:val="both"/>
        <w:rPr>
          <w:rFonts w:ascii="Rockwell" w:hAnsi="Rockwell"/>
          <w:sz w:val="24"/>
          <w:szCs w:val="24"/>
        </w:rPr>
      </w:pPr>
      <w:r w:rsidRPr="0061020E">
        <w:rPr>
          <w:rFonts w:ascii="Rockwell" w:hAnsi="Rockwell"/>
          <w:sz w:val="24"/>
          <w:szCs w:val="24"/>
        </w:rPr>
        <w:t>Pour une fourniture courante (sur catalogue) la garantie commerciale offerte par le fournisse</w:t>
      </w:r>
      <w:r w:rsidR="00FB7597" w:rsidRPr="0061020E">
        <w:rPr>
          <w:rFonts w:ascii="Rockwell" w:hAnsi="Rockwell"/>
          <w:sz w:val="24"/>
          <w:szCs w:val="24"/>
        </w:rPr>
        <w:t>ur est en général</w:t>
      </w:r>
      <w:r w:rsidR="00E0599F">
        <w:rPr>
          <w:rFonts w:ascii="Rockwell" w:hAnsi="Rockwell"/>
          <w:sz w:val="24"/>
          <w:szCs w:val="24"/>
        </w:rPr>
        <w:t>,</w:t>
      </w:r>
      <w:r w:rsidRPr="0061020E">
        <w:rPr>
          <w:rFonts w:ascii="Rockwell" w:hAnsi="Rockwell"/>
          <w:sz w:val="24"/>
          <w:szCs w:val="24"/>
        </w:rPr>
        <w:t xml:space="preserve"> suffisante.</w:t>
      </w:r>
    </w:p>
    <w:p w:rsidR="00DA0AF0" w:rsidRPr="0061020E" w:rsidRDefault="00DA0AF0" w:rsidP="008F6018">
      <w:pPr>
        <w:spacing w:after="120" w:line="240" w:lineRule="auto"/>
        <w:jc w:val="both"/>
        <w:rPr>
          <w:rFonts w:ascii="Rockwell" w:hAnsi="Rockwell"/>
          <w:sz w:val="24"/>
          <w:szCs w:val="24"/>
        </w:rPr>
      </w:pPr>
      <w:r w:rsidRPr="0061020E">
        <w:rPr>
          <w:rFonts w:ascii="Rockwell" w:hAnsi="Rockwell"/>
          <w:sz w:val="24"/>
          <w:szCs w:val="24"/>
        </w:rPr>
        <w:t>Pour une fourniture sur spécifications de l'acheteur</w:t>
      </w:r>
      <w:r w:rsidR="00E0599F">
        <w:rPr>
          <w:rFonts w:ascii="Rockwell" w:hAnsi="Rockwell"/>
          <w:sz w:val="24"/>
          <w:szCs w:val="24"/>
        </w:rPr>
        <w:t>,</w:t>
      </w:r>
      <w:r w:rsidRPr="0061020E">
        <w:rPr>
          <w:rFonts w:ascii="Rockwell" w:hAnsi="Rockwell"/>
          <w:sz w:val="24"/>
          <w:szCs w:val="24"/>
        </w:rPr>
        <w:t xml:space="preserve"> les </w:t>
      </w:r>
      <w:r w:rsidR="007A69B2">
        <w:rPr>
          <w:rFonts w:ascii="Rockwell" w:hAnsi="Rockwell"/>
          <w:sz w:val="24"/>
          <w:szCs w:val="24"/>
        </w:rPr>
        <w:t>options à retenir sont souvent :</w:t>
      </w:r>
    </w:p>
    <w:p w:rsidR="00DA0AF0" w:rsidRPr="0061020E" w:rsidRDefault="00DA0AF0" w:rsidP="008F6018">
      <w:pPr>
        <w:spacing w:after="120" w:line="240" w:lineRule="auto"/>
        <w:jc w:val="both"/>
        <w:rPr>
          <w:rFonts w:ascii="Rockwell" w:hAnsi="Rockwell"/>
          <w:sz w:val="24"/>
          <w:szCs w:val="24"/>
        </w:rPr>
      </w:pPr>
      <w:r w:rsidRPr="0061020E">
        <w:rPr>
          <w:rFonts w:ascii="Rockwell" w:hAnsi="Rockwell"/>
          <w:sz w:val="24"/>
          <w:szCs w:val="24"/>
        </w:rPr>
        <w:t xml:space="preserve"> -soit la preuve de la qualification d'un prototype dûment défini par un dossier d'identification (cette preuve est apportée par des  certi</w:t>
      </w:r>
      <w:r w:rsidR="00E0599F">
        <w:rPr>
          <w:rFonts w:ascii="Rockwell" w:hAnsi="Rockwell"/>
          <w:sz w:val="24"/>
          <w:szCs w:val="24"/>
        </w:rPr>
        <w:t>ficats d'essais) combinée à</w:t>
      </w:r>
      <w:r w:rsidRPr="0061020E">
        <w:rPr>
          <w:rFonts w:ascii="Rockwell" w:hAnsi="Rockwell"/>
          <w:sz w:val="24"/>
          <w:szCs w:val="24"/>
        </w:rPr>
        <w:t xml:space="preserve"> l'existence d'un</w:t>
      </w:r>
      <w:r w:rsidR="00FB7597" w:rsidRPr="0061020E">
        <w:rPr>
          <w:rFonts w:ascii="Rockwell" w:hAnsi="Rockwell"/>
          <w:sz w:val="24"/>
          <w:szCs w:val="24"/>
        </w:rPr>
        <w:t xml:space="preserve"> système qualité</w:t>
      </w:r>
      <w:r w:rsidRPr="0061020E">
        <w:rPr>
          <w:rFonts w:ascii="Rockwell" w:hAnsi="Rockwell"/>
          <w:sz w:val="24"/>
          <w:szCs w:val="24"/>
        </w:rPr>
        <w:t xml:space="preserve"> ;</w:t>
      </w:r>
    </w:p>
    <w:p w:rsidR="00DA0AF0" w:rsidRPr="0061020E" w:rsidRDefault="00DA0AF0" w:rsidP="008F6018">
      <w:pPr>
        <w:spacing w:after="120" w:line="240" w:lineRule="auto"/>
        <w:jc w:val="both"/>
        <w:rPr>
          <w:rFonts w:ascii="Rockwell" w:hAnsi="Rockwell"/>
          <w:sz w:val="24"/>
          <w:szCs w:val="24"/>
        </w:rPr>
      </w:pPr>
      <w:r w:rsidRPr="0061020E">
        <w:rPr>
          <w:rFonts w:ascii="Rockwell" w:hAnsi="Rockwell"/>
          <w:sz w:val="24"/>
          <w:szCs w:val="24"/>
        </w:rPr>
        <w:t>- soit un certificat de produit ;</w:t>
      </w:r>
    </w:p>
    <w:p w:rsidR="00EB242C" w:rsidRPr="0061020E" w:rsidRDefault="007D2D20" w:rsidP="008F6018">
      <w:pPr>
        <w:spacing w:after="120" w:line="240" w:lineRule="auto"/>
        <w:jc w:val="both"/>
        <w:rPr>
          <w:rFonts w:ascii="Rockwell" w:hAnsi="Rockwell"/>
          <w:sz w:val="24"/>
          <w:szCs w:val="24"/>
        </w:rPr>
      </w:pPr>
      <w:r w:rsidRPr="0061020E">
        <w:rPr>
          <w:rFonts w:ascii="Rockwell" w:hAnsi="Rockwell"/>
          <w:sz w:val="24"/>
          <w:szCs w:val="24"/>
        </w:rPr>
        <w:t>Pour des travaux et services courants, la garantie commerciale offerte par l'entrepreneur o</w:t>
      </w:r>
      <w:r w:rsidR="00E0599F">
        <w:rPr>
          <w:rFonts w:ascii="Rockwell" w:hAnsi="Rockwell"/>
          <w:sz w:val="24"/>
          <w:szCs w:val="24"/>
        </w:rPr>
        <w:t xml:space="preserve">u le prestataire est en général, </w:t>
      </w:r>
      <w:r w:rsidRPr="0061020E">
        <w:rPr>
          <w:rFonts w:ascii="Rockwell" w:hAnsi="Rockwell"/>
          <w:sz w:val="24"/>
          <w:szCs w:val="24"/>
        </w:rPr>
        <w:t>suffisante.</w:t>
      </w:r>
    </w:p>
    <w:p w:rsidR="007D2D20" w:rsidRPr="0061020E" w:rsidRDefault="007D2D20" w:rsidP="008F6018">
      <w:pPr>
        <w:spacing w:after="120" w:line="240" w:lineRule="auto"/>
        <w:jc w:val="both"/>
        <w:rPr>
          <w:rFonts w:ascii="Rockwell" w:hAnsi="Rockwell"/>
          <w:sz w:val="24"/>
          <w:szCs w:val="24"/>
        </w:rPr>
      </w:pPr>
      <w:r w:rsidRPr="0061020E">
        <w:rPr>
          <w:rFonts w:ascii="Rockwell" w:hAnsi="Rockwell"/>
          <w:sz w:val="24"/>
          <w:szCs w:val="24"/>
        </w:rPr>
        <w:t>L'acheteur doit veiller à exprimer ses exigences</w:t>
      </w:r>
      <w:r w:rsidR="00E0599F">
        <w:rPr>
          <w:rFonts w:ascii="Rockwell" w:hAnsi="Rockwell"/>
          <w:sz w:val="24"/>
          <w:szCs w:val="24"/>
        </w:rPr>
        <w:t>,</w:t>
      </w:r>
      <w:r w:rsidRPr="0061020E">
        <w:rPr>
          <w:rFonts w:ascii="Rockwell" w:hAnsi="Rockwell"/>
          <w:sz w:val="24"/>
          <w:szCs w:val="24"/>
        </w:rPr>
        <w:t xml:space="preserve"> de façon non discriminatoire. Par ailleurs, il a grand intérêt à conserver la justification des exigences qu'il a retenues.</w:t>
      </w:r>
    </w:p>
    <w:p w:rsidR="00B73B0A" w:rsidRPr="0061020E" w:rsidRDefault="00B73B0A" w:rsidP="008F6018">
      <w:pPr>
        <w:spacing w:after="120" w:line="240" w:lineRule="auto"/>
        <w:jc w:val="both"/>
        <w:rPr>
          <w:rFonts w:ascii="Rockwell" w:hAnsi="Rockwell"/>
          <w:sz w:val="24"/>
          <w:szCs w:val="24"/>
        </w:rPr>
      </w:pPr>
    </w:p>
    <w:p w:rsidR="00452B30" w:rsidRPr="00FA49BF" w:rsidRDefault="00452B30" w:rsidP="008F6018">
      <w:pPr>
        <w:pStyle w:val="Titre3"/>
        <w:numPr>
          <w:ilvl w:val="0"/>
          <w:numId w:val="89"/>
        </w:numPr>
        <w:spacing w:before="0" w:after="120" w:line="240" w:lineRule="auto"/>
        <w:jc w:val="both"/>
        <w:rPr>
          <w:rFonts w:ascii="Rockwell" w:hAnsi="Rockwell"/>
          <w:color w:val="auto"/>
          <w:sz w:val="24"/>
          <w:szCs w:val="24"/>
        </w:rPr>
      </w:pPr>
      <w:bookmarkStart w:id="53" w:name="_Toc505063275"/>
      <w:r w:rsidRPr="00FA49BF">
        <w:rPr>
          <w:rFonts w:ascii="Rockwell" w:hAnsi="Rockwell"/>
          <w:color w:val="auto"/>
          <w:sz w:val="24"/>
          <w:szCs w:val="24"/>
        </w:rPr>
        <w:t>Expression des exigences de conformité</w:t>
      </w:r>
      <w:bookmarkEnd w:id="53"/>
    </w:p>
    <w:p w:rsidR="007D2D20" w:rsidRPr="0061020E" w:rsidRDefault="007D2D20" w:rsidP="008F6018">
      <w:pPr>
        <w:spacing w:after="120" w:line="240" w:lineRule="auto"/>
        <w:jc w:val="both"/>
        <w:rPr>
          <w:rFonts w:ascii="Rockwell" w:hAnsi="Rockwell"/>
          <w:sz w:val="24"/>
          <w:szCs w:val="24"/>
        </w:rPr>
      </w:pPr>
      <w:r w:rsidRPr="0061020E">
        <w:rPr>
          <w:rFonts w:ascii="Rockwell" w:hAnsi="Rockwell"/>
          <w:sz w:val="24"/>
          <w:szCs w:val="24"/>
        </w:rPr>
        <w:t>Selon la règle impérative des marchés publics, et dans l'es</w:t>
      </w:r>
      <w:r w:rsidR="00F71DC0" w:rsidRPr="0061020E">
        <w:rPr>
          <w:rFonts w:ascii="Rockwell" w:hAnsi="Rockwell"/>
          <w:sz w:val="24"/>
          <w:szCs w:val="24"/>
        </w:rPr>
        <w:t xml:space="preserve">prit de </w:t>
      </w:r>
      <w:r w:rsidRPr="0061020E">
        <w:rPr>
          <w:rFonts w:ascii="Rockwell" w:hAnsi="Rockwell"/>
          <w:sz w:val="24"/>
          <w:szCs w:val="24"/>
        </w:rPr>
        <w:t>l'élaboration des clauses des marchés publics, les exigences de conformité éventuelles doivent être exprimées suffisamment tôt</w:t>
      </w:r>
      <w:r w:rsidR="00E0599F">
        <w:rPr>
          <w:rFonts w:ascii="Rockwell" w:hAnsi="Rockwell"/>
          <w:sz w:val="24"/>
          <w:szCs w:val="24"/>
        </w:rPr>
        <w:t>,</w:t>
      </w:r>
      <w:r w:rsidRPr="0061020E">
        <w:rPr>
          <w:rFonts w:ascii="Rockwell" w:hAnsi="Rockwell"/>
          <w:sz w:val="24"/>
          <w:szCs w:val="24"/>
        </w:rPr>
        <w:t xml:space="preserve"> pour que soient respectées la régularité de la mise en concurrence et notamment l'obligation de consulter tous les fournisseur</w:t>
      </w:r>
      <w:r w:rsidR="00E0599F">
        <w:rPr>
          <w:rFonts w:ascii="Rockwell" w:hAnsi="Rockwell"/>
          <w:sz w:val="24"/>
          <w:szCs w:val="24"/>
        </w:rPr>
        <w:t>s sur d</w:t>
      </w:r>
      <w:r w:rsidRPr="0061020E">
        <w:rPr>
          <w:rFonts w:ascii="Rockwell" w:hAnsi="Rockwell"/>
          <w:sz w:val="24"/>
          <w:szCs w:val="24"/>
        </w:rPr>
        <w:t>es bases identiques et exhaustives.</w:t>
      </w:r>
    </w:p>
    <w:p w:rsidR="007D2D20" w:rsidRPr="0061020E" w:rsidRDefault="007D2D20" w:rsidP="008F6018">
      <w:pPr>
        <w:spacing w:after="120" w:line="240" w:lineRule="auto"/>
        <w:jc w:val="both"/>
        <w:rPr>
          <w:rFonts w:ascii="Rockwell" w:hAnsi="Rockwell"/>
          <w:sz w:val="24"/>
          <w:szCs w:val="24"/>
        </w:rPr>
      </w:pPr>
      <w:r w:rsidRPr="0061020E">
        <w:rPr>
          <w:rFonts w:ascii="Rockwell" w:hAnsi="Rockwell"/>
          <w:sz w:val="24"/>
          <w:szCs w:val="24"/>
        </w:rPr>
        <w:t>Certaines exigences sont exprimées dans l'avis d'appel public à la concurrence.</w:t>
      </w:r>
    </w:p>
    <w:p w:rsidR="007D2D20" w:rsidRPr="0057016A" w:rsidRDefault="007D2D20" w:rsidP="008F6018">
      <w:pPr>
        <w:spacing w:after="120" w:line="240" w:lineRule="auto"/>
        <w:jc w:val="both"/>
        <w:rPr>
          <w:rFonts w:ascii="Rockwell" w:hAnsi="Rockwell"/>
          <w:sz w:val="24"/>
          <w:szCs w:val="24"/>
          <w:highlight w:val="cyan"/>
        </w:rPr>
      </w:pPr>
      <w:r w:rsidRPr="0061020E">
        <w:rPr>
          <w:rFonts w:ascii="Rockwell" w:hAnsi="Rockwell"/>
          <w:sz w:val="24"/>
          <w:szCs w:val="24"/>
        </w:rPr>
        <w:t xml:space="preserve">Il s'agit des exigences éventuelles concernant l'entreprise elle-même (assurance de la qualité) et </w:t>
      </w:r>
      <w:r w:rsidR="00BE4EAF">
        <w:rPr>
          <w:rFonts w:ascii="Rockwell" w:hAnsi="Rockwell"/>
          <w:sz w:val="24"/>
          <w:szCs w:val="24"/>
        </w:rPr>
        <w:t xml:space="preserve">de </w:t>
      </w:r>
      <w:r w:rsidRPr="0061020E">
        <w:rPr>
          <w:rFonts w:ascii="Rockwell" w:hAnsi="Rockwell"/>
          <w:sz w:val="24"/>
          <w:szCs w:val="24"/>
        </w:rPr>
        <w:t>ses produits dont la satisfaction est nécessaire</w:t>
      </w:r>
      <w:r w:rsidR="00BE4EAF">
        <w:rPr>
          <w:rFonts w:ascii="Rockwell" w:hAnsi="Rockwell"/>
          <w:sz w:val="24"/>
          <w:szCs w:val="24"/>
        </w:rPr>
        <w:t>,</w:t>
      </w:r>
      <w:r w:rsidRPr="0061020E">
        <w:rPr>
          <w:rFonts w:ascii="Rockwell" w:hAnsi="Rockwell"/>
          <w:sz w:val="24"/>
          <w:szCs w:val="24"/>
        </w:rPr>
        <w:t xml:space="preserve"> lors de la sélection des candidats, tels que certificats de produit, certificats d'essai, etc. Il peut s'agir aussi d'exigences sur la qualification du personnel (ex. : qualification de soudeurs, opérateurs de contrôle non destructif, plongeurs scaphandriers, caristes, ...). Dans ce cas, les entreprises candidates doivent apporter la preuve que, parmi leur personnel, un nombre suffisant de personnes possèdent ces qualifications</w:t>
      </w:r>
      <w:r w:rsidRPr="0057016A">
        <w:rPr>
          <w:rFonts w:ascii="Rockwell" w:hAnsi="Rockwell"/>
          <w:sz w:val="24"/>
          <w:szCs w:val="24"/>
        </w:rPr>
        <w:t xml:space="preserve">. </w:t>
      </w:r>
      <w:r w:rsidRPr="0057016A">
        <w:rPr>
          <w:rFonts w:ascii="Rockwell" w:hAnsi="Rockwell"/>
          <w:sz w:val="24"/>
          <w:szCs w:val="24"/>
          <w:highlight w:val="cyan"/>
        </w:rPr>
        <w:t>Il est alors souhaitable de demander</w:t>
      </w:r>
      <w:r w:rsidR="00C96626" w:rsidRPr="0057016A">
        <w:rPr>
          <w:rFonts w:ascii="Rockwell" w:hAnsi="Rockwell"/>
          <w:sz w:val="24"/>
          <w:szCs w:val="24"/>
          <w:highlight w:val="cyan"/>
        </w:rPr>
        <w:t> </w:t>
      </w:r>
      <w:r w:rsidRPr="0057016A">
        <w:rPr>
          <w:rFonts w:ascii="Rockwell" w:hAnsi="Rockwell"/>
          <w:sz w:val="24"/>
          <w:szCs w:val="24"/>
          <w:highlight w:val="cyan"/>
        </w:rPr>
        <w:t>:</w:t>
      </w:r>
    </w:p>
    <w:p w:rsidR="00FA49BF" w:rsidRPr="0057016A" w:rsidRDefault="007D2D20"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lastRenderedPageBreak/>
        <w:t>le détail</w:t>
      </w:r>
      <w:r w:rsidR="00C96626" w:rsidRPr="0057016A">
        <w:rPr>
          <w:rFonts w:ascii="Rockwell" w:hAnsi="Rockwell"/>
          <w:sz w:val="24"/>
          <w:szCs w:val="24"/>
          <w:highlight w:val="cyan"/>
        </w:rPr>
        <w:t xml:space="preserve"> des différentes qualifications avec mention du domaine couvert et des limites éventuelles ;</w:t>
      </w:r>
    </w:p>
    <w:p w:rsidR="00FA49BF" w:rsidRPr="0057016A" w:rsidRDefault="00C96626"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le nombre de personnes concernées et leur qualification respective ;</w:t>
      </w:r>
    </w:p>
    <w:p w:rsidR="00FA49BF" w:rsidRPr="0057016A" w:rsidRDefault="00C96626"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les références du ou des organisme</w:t>
      </w:r>
      <w:r w:rsidR="00AB7B50">
        <w:rPr>
          <w:rFonts w:ascii="Rockwell" w:hAnsi="Rockwell"/>
          <w:sz w:val="24"/>
          <w:szCs w:val="24"/>
          <w:highlight w:val="cyan"/>
        </w:rPr>
        <w:t>(</w:t>
      </w:r>
      <w:r w:rsidR="00D172AD">
        <w:rPr>
          <w:rFonts w:ascii="Rockwell" w:hAnsi="Rockwell"/>
          <w:sz w:val="24"/>
          <w:szCs w:val="24"/>
          <w:highlight w:val="cyan"/>
        </w:rPr>
        <w:t>s</w:t>
      </w:r>
      <w:r w:rsidR="00AB7B50">
        <w:rPr>
          <w:rFonts w:ascii="Rockwell" w:hAnsi="Rockwell"/>
          <w:sz w:val="24"/>
          <w:szCs w:val="24"/>
          <w:highlight w:val="cyan"/>
        </w:rPr>
        <w:t>)</w:t>
      </w:r>
      <w:r w:rsidRPr="0057016A">
        <w:rPr>
          <w:rFonts w:ascii="Rockwell" w:hAnsi="Rockwell"/>
          <w:sz w:val="24"/>
          <w:szCs w:val="24"/>
          <w:highlight w:val="cyan"/>
        </w:rPr>
        <w:t xml:space="preserve"> de qualification et leur accréditation éventuelle ;</w:t>
      </w:r>
    </w:p>
    <w:p w:rsidR="00C96626" w:rsidRPr="0057016A" w:rsidRDefault="00C96626"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des exemples de certificats de personnel.</w:t>
      </w:r>
    </w:p>
    <w:p w:rsidR="00C96626" w:rsidRPr="0061020E" w:rsidRDefault="00C96626" w:rsidP="008F6018">
      <w:pPr>
        <w:spacing w:after="120" w:line="240" w:lineRule="auto"/>
        <w:jc w:val="both"/>
        <w:rPr>
          <w:rFonts w:ascii="Rockwell" w:hAnsi="Rockwell"/>
          <w:sz w:val="24"/>
          <w:szCs w:val="24"/>
        </w:rPr>
      </w:pPr>
      <w:r w:rsidRPr="0061020E">
        <w:rPr>
          <w:rFonts w:ascii="Rockwell" w:hAnsi="Rockwell"/>
          <w:sz w:val="24"/>
          <w:szCs w:val="24"/>
        </w:rPr>
        <w:t>Les autres exigences sont exprim</w:t>
      </w:r>
      <w:r w:rsidR="00F71DC0" w:rsidRPr="0061020E">
        <w:rPr>
          <w:rFonts w:ascii="Rockwell" w:hAnsi="Rockwell"/>
          <w:sz w:val="24"/>
          <w:szCs w:val="24"/>
        </w:rPr>
        <w:t>ées au stade de la consultation.</w:t>
      </w:r>
      <w:r w:rsidR="00FA49BF">
        <w:rPr>
          <w:rFonts w:ascii="Rockwell" w:hAnsi="Rockwell"/>
          <w:sz w:val="24"/>
          <w:szCs w:val="24"/>
        </w:rPr>
        <w:t xml:space="preserve"> </w:t>
      </w:r>
      <w:r w:rsidR="0050452E" w:rsidRPr="0061020E">
        <w:rPr>
          <w:rFonts w:ascii="Rockwell" w:hAnsi="Rockwell"/>
          <w:sz w:val="24"/>
          <w:szCs w:val="24"/>
        </w:rPr>
        <w:t>Il s'agit des exigences qui sont nécessaires aux soumissionnaires pour établir leur offre et qui sont ensuite</w:t>
      </w:r>
      <w:r w:rsidR="00054E8D">
        <w:rPr>
          <w:rFonts w:ascii="Rockwell" w:hAnsi="Rockwell"/>
          <w:sz w:val="24"/>
          <w:szCs w:val="24"/>
        </w:rPr>
        <w:t>,</w:t>
      </w:r>
      <w:r w:rsidR="0050452E" w:rsidRPr="0061020E">
        <w:rPr>
          <w:rFonts w:ascii="Rockwell" w:hAnsi="Rockwell"/>
          <w:sz w:val="24"/>
          <w:szCs w:val="24"/>
        </w:rPr>
        <w:t xml:space="preserve"> reprises dans le marché</w:t>
      </w:r>
      <w:r w:rsidR="00BC0815" w:rsidRPr="0061020E">
        <w:rPr>
          <w:rFonts w:ascii="Rockwell" w:hAnsi="Rockwell"/>
          <w:sz w:val="24"/>
          <w:szCs w:val="24"/>
        </w:rPr>
        <w:t>, par exemple :</w:t>
      </w:r>
    </w:p>
    <w:p w:rsidR="00DC625B" w:rsidRPr="0057016A" w:rsidRDefault="00BC0815"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la nature et le contenu des documents de compte rendu que le titulaire du marché devra établir et, pour certains d'entre eux</w:t>
      </w:r>
      <w:r w:rsidR="00054E8D">
        <w:rPr>
          <w:rFonts w:ascii="Rockwell" w:hAnsi="Rockwell"/>
          <w:sz w:val="24"/>
          <w:szCs w:val="24"/>
          <w:highlight w:val="cyan"/>
        </w:rPr>
        <w:t>,</w:t>
      </w:r>
      <w:r w:rsidRPr="0057016A">
        <w:rPr>
          <w:rFonts w:ascii="Rockwell" w:hAnsi="Rockwell"/>
          <w:sz w:val="24"/>
          <w:szCs w:val="24"/>
          <w:highlight w:val="cyan"/>
        </w:rPr>
        <w:t xml:space="preserve"> fournir, comme preuves de </w:t>
      </w:r>
      <w:r w:rsidR="00054E8D">
        <w:rPr>
          <w:rFonts w:ascii="Rockwell" w:hAnsi="Rockwell"/>
          <w:sz w:val="24"/>
          <w:szCs w:val="24"/>
          <w:highlight w:val="cyan"/>
        </w:rPr>
        <w:t xml:space="preserve">la </w:t>
      </w:r>
      <w:r w:rsidRPr="0057016A">
        <w:rPr>
          <w:rFonts w:ascii="Rockwell" w:hAnsi="Rockwell"/>
          <w:sz w:val="24"/>
          <w:szCs w:val="24"/>
          <w:highlight w:val="cyan"/>
        </w:rPr>
        <w:t>conformité</w:t>
      </w:r>
      <w:r w:rsidR="00054E8D">
        <w:rPr>
          <w:rFonts w:ascii="Rockwell" w:hAnsi="Rockwell"/>
          <w:sz w:val="24"/>
          <w:szCs w:val="24"/>
          <w:highlight w:val="cyan"/>
        </w:rPr>
        <w:t>,</w:t>
      </w:r>
      <w:r w:rsidRPr="0057016A">
        <w:rPr>
          <w:rFonts w:ascii="Rockwell" w:hAnsi="Rockwell"/>
          <w:sz w:val="24"/>
          <w:szCs w:val="24"/>
          <w:highlight w:val="cyan"/>
        </w:rPr>
        <w:t xml:space="preserve"> au titre du marché ;</w:t>
      </w:r>
    </w:p>
    <w:p w:rsidR="00A74BED" w:rsidRPr="0057016A" w:rsidRDefault="00BC0815"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les exigences d'identification</w:t>
      </w:r>
      <w:r w:rsidR="00054E8D">
        <w:rPr>
          <w:rFonts w:ascii="Rockwell" w:hAnsi="Rockwell"/>
          <w:sz w:val="24"/>
          <w:szCs w:val="24"/>
          <w:highlight w:val="cyan"/>
        </w:rPr>
        <w:t>,</w:t>
      </w:r>
      <w:r w:rsidRPr="0057016A">
        <w:rPr>
          <w:rFonts w:ascii="Rockwell" w:hAnsi="Rockwell"/>
          <w:sz w:val="24"/>
          <w:szCs w:val="24"/>
          <w:highlight w:val="cyan"/>
        </w:rPr>
        <w:t xml:space="preserve"> le cas échéant, de traçabilité (numérotage du produit ou du lot avec repère dans les documents de compte rendu) ;</w:t>
      </w:r>
    </w:p>
    <w:p w:rsidR="00A74BED" w:rsidRPr="0057016A" w:rsidRDefault="00BC0815"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le cas échéant</w:t>
      </w:r>
      <w:r w:rsidR="00054E8D">
        <w:rPr>
          <w:rFonts w:ascii="Rockwell" w:hAnsi="Rockwell"/>
          <w:sz w:val="24"/>
          <w:szCs w:val="24"/>
          <w:highlight w:val="cyan"/>
        </w:rPr>
        <w:t>,</w:t>
      </w:r>
      <w:r w:rsidRPr="0057016A">
        <w:rPr>
          <w:rFonts w:ascii="Rockwell" w:hAnsi="Rockwell"/>
          <w:sz w:val="24"/>
          <w:szCs w:val="24"/>
          <w:highlight w:val="cyan"/>
        </w:rPr>
        <w:t xml:space="preserve"> les exigences que le titulaire du marché doit récupérer à ses sous-traitants</w:t>
      </w:r>
      <w:r w:rsidR="00FA49BF" w:rsidRPr="0057016A">
        <w:rPr>
          <w:rFonts w:ascii="Rockwell" w:hAnsi="Rockwell"/>
          <w:sz w:val="24"/>
          <w:szCs w:val="24"/>
          <w:highlight w:val="cyan"/>
        </w:rPr>
        <w:t xml:space="preserve"> </w:t>
      </w:r>
      <w:r w:rsidRPr="0057016A">
        <w:rPr>
          <w:rFonts w:ascii="Rockwell" w:hAnsi="Rockwell"/>
          <w:sz w:val="24"/>
          <w:szCs w:val="24"/>
          <w:highlight w:val="cyan"/>
        </w:rPr>
        <w:t>;</w:t>
      </w:r>
    </w:p>
    <w:p w:rsidR="00BC0815" w:rsidRPr="0057016A" w:rsidRDefault="00BC0815"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des engagements</w:t>
      </w:r>
      <w:r w:rsidR="00054E8D">
        <w:rPr>
          <w:rFonts w:ascii="Rockwell" w:hAnsi="Rockwell"/>
          <w:sz w:val="24"/>
          <w:szCs w:val="24"/>
          <w:highlight w:val="cyan"/>
        </w:rPr>
        <w:t>,</w:t>
      </w:r>
      <w:r w:rsidRPr="0057016A">
        <w:rPr>
          <w:rFonts w:ascii="Rockwell" w:hAnsi="Rockwell"/>
          <w:sz w:val="24"/>
          <w:szCs w:val="24"/>
          <w:highlight w:val="cyan"/>
        </w:rPr>
        <w:t xml:space="preserve"> tels que celui que le travail sera effectivement confié à </w:t>
      </w:r>
      <w:r w:rsidR="00054E8D">
        <w:rPr>
          <w:rFonts w:ascii="Rockwell" w:hAnsi="Rockwell"/>
          <w:sz w:val="24"/>
          <w:szCs w:val="24"/>
          <w:highlight w:val="cyan"/>
        </w:rPr>
        <w:t>un</w:t>
      </w:r>
      <w:r w:rsidRPr="0057016A">
        <w:rPr>
          <w:rFonts w:ascii="Rockwell" w:hAnsi="Rockwell"/>
          <w:sz w:val="24"/>
          <w:szCs w:val="24"/>
          <w:highlight w:val="cyan"/>
        </w:rPr>
        <w:t xml:space="preserve"> personnel qualifié.</w:t>
      </w:r>
    </w:p>
    <w:p w:rsidR="00BC0815" w:rsidRPr="0061020E" w:rsidRDefault="00BC0815" w:rsidP="008F6018">
      <w:pPr>
        <w:spacing w:after="120" w:line="240" w:lineRule="auto"/>
        <w:jc w:val="both"/>
        <w:rPr>
          <w:rFonts w:ascii="Rockwell" w:hAnsi="Rockwell"/>
          <w:sz w:val="24"/>
          <w:szCs w:val="24"/>
        </w:rPr>
      </w:pPr>
      <w:r w:rsidRPr="0061020E">
        <w:rPr>
          <w:rFonts w:ascii="Rockwell" w:hAnsi="Rockwell"/>
          <w:sz w:val="24"/>
          <w:szCs w:val="24"/>
        </w:rPr>
        <w:t>De même</w:t>
      </w:r>
      <w:r w:rsidR="00054E8D">
        <w:rPr>
          <w:rFonts w:ascii="Rockwell" w:hAnsi="Rockwell"/>
          <w:sz w:val="24"/>
          <w:szCs w:val="24"/>
        </w:rPr>
        <w:t>,</w:t>
      </w:r>
      <w:r w:rsidRPr="0061020E">
        <w:rPr>
          <w:rFonts w:ascii="Rockwell" w:hAnsi="Rockwell"/>
          <w:sz w:val="24"/>
          <w:szCs w:val="24"/>
        </w:rPr>
        <w:t xml:space="preserve"> l'acheteur précise les droits qu'il entend se réserver en matière de surveillance (vérifications, essais, audits) dans la mesure où ces droits ne sont pas déjà prévus par le CCAG applicable au marché.</w:t>
      </w:r>
    </w:p>
    <w:p w:rsidR="00BC0815" w:rsidRDefault="00BC0815" w:rsidP="008F6018">
      <w:pPr>
        <w:spacing w:after="120" w:line="240" w:lineRule="auto"/>
        <w:jc w:val="both"/>
        <w:rPr>
          <w:rFonts w:ascii="Rockwell" w:hAnsi="Rockwell"/>
          <w:sz w:val="24"/>
          <w:szCs w:val="24"/>
        </w:rPr>
      </w:pPr>
      <w:r w:rsidRPr="0061020E">
        <w:rPr>
          <w:rFonts w:ascii="Rockwell" w:hAnsi="Rockwell"/>
          <w:sz w:val="24"/>
          <w:szCs w:val="24"/>
        </w:rPr>
        <w:t xml:space="preserve">Pour les travaux, il convient de rédiger le </w:t>
      </w:r>
      <w:r w:rsidR="00AB7B50">
        <w:rPr>
          <w:rFonts w:ascii="Rockwell" w:hAnsi="Rockwell"/>
          <w:sz w:val="24"/>
          <w:szCs w:val="24"/>
        </w:rPr>
        <w:t>C</w:t>
      </w:r>
      <w:r w:rsidRPr="0061020E">
        <w:rPr>
          <w:rFonts w:ascii="Rockwell" w:hAnsi="Rockwell"/>
          <w:sz w:val="24"/>
          <w:szCs w:val="24"/>
        </w:rPr>
        <w:t>ahier des clauses techniques particulières (CCTP) le plus complètement possible, de façon à ne laisser subsister</w:t>
      </w:r>
      <w:r w:rsidR="00AB7B50">
        <w:rPr>
          <w:rFonts w:ascii="Rockwell" w:hAnsi="Rockwell"/>
          <w:sz w:val="24"/>
          <w:szCs w:val="24"/>
        </w:rPr>
        <w:t> ;</w:t>
      </w:r>
      <w:r w:rsidRPr="0061020E">
        <w:rPr>
          <w:rFonts w:ascii="Rockwell" w:hAnsi="Rockwell"/>
          <w:sz w:val="24"/>
          <w:szCs w:val="24"/>
        </w:rPr>
        <w:t xml:space="preserve"> dans le PAQ éventuellement demandé</w:t>
      </w:r>
      <w:r w:rsidR="0010759D">
        <w:rPr>
          <w:rFonts w:ascii="Rockwell" w:hAnsi="Rockwell"/>
          <w:sz w:val="24"/>
          <w:szCs w:val="24"/>
        </w:rPr>
        <w:t>,</w:t>
      </w:r>
      <w:r w:rsidRPr="0061020E">
        <w:rPr>
          <w:rFonts w:ascii="Rockwell" w:hAnsi="Rockwell"/>
          <w:sz w:val="24"/>
          <w:szCs w:val="24"/>
        </w:rPr>
        <w:t xml:space="preserve"> que les éléments propres à la seule organisation de l'entreprise, certains d'entre eux pouvant </w:t>
      </w:r>
      <w:r w:rsidR="00307195" w:rsidRPr="0061020E">
        <w:rPr>
          <w:rFonts w:ascii="Rockwell" w:hAnsi="Rockwell"/>
          <w:sz w:val="24"/>
          <w:szCs w:val="24"/>
        </w:rPr>
        <w:t>être rendus contractuels</w:t>
      </w:r>
      <w:r w:rsidR="00D172AD">
        <w:rPr>
          <w:rFonts w:ascii="Rockwell" w:hAnsi="Rockwell"/>
          <w:sz w:val="24"/>
          <w:szCs w:val="24"/>
        </w:rPr>
        <w:t>,</w:t>
      </w:r>
      <w:r w:rsidR="00307195" w:rsidRPr="0061020E">
        <w:rPr>
          <w:rFonts w:ascii="Rockwell" w:hAnsi="Rockwell"/>
          <w:sz w:val="24"/>
          <w:szCs w:val="24"/>
        </w:rPr>
        <w:t xml:space="preserve"> si l'acheteur le souhaite.</w:t>
      </w:r>
    </w:p>
    <w:p w:rsidR="00F3614D" w:rsidRPr="0061020E" w:rsidRDefault="00F3614D" w:rsidP="008F6018">
      <w:pPr>
        <w:spacing w:after="120" w:line="240" w:lineRule="auto"/>
        <w:jc w:val="both"/>
        <w:rPr>
          <w:rFonts w:ascii="Rockwell" w:hAnsi="Rockwell"/>
          <w:sz w:val="24"/>
          <w:szCs w:val="24"/>
        </w:rPr>
      </w:pPr>
    </w:p>
    <w:p w:rsidR="00452B30" w:rsidRPr="00F63A1F" w:rsidRDefault="00452B30" w:rsidP="008F6018">
      <w:pPr>
        <w:pStyle w:val="Titre3"/>
        <w:numPr>
          <w:ilvl w:val="0"/>
          <w:numId w:val="89"/>
        </w:numPr>
        <w:spacing w:before="0" w:after="120" w:line="240" w:lineRule="auto"/>
        <w:jc w:val="both"/>
        <w:rPr>
          <w:rFonts w:ascii="Rockwell" w:hAnsi="Rockwell"/>
          <w:color w:val="auto"/>
          <w:sz w:val="24"/>
          <w:szCs w:val="24"/>
        </w:rPr>
      </w:pPr>
      <w:bookmarkStart w:id="54" w:name="_Toc505063276"/>
      <w:r w:rsidRPr="00F63A1F">
        <w:rPr>
          <w:rFonts w:ascii="Rockwell" w:hAnsi="Rockwell"/>
          <w:color w:val="auto"/>
          <w:sz w:val="24"/>
          <w:szCs w:val="24"/>
        </w:rPr>
        <w:t>Sélection des candidats</w:t>
      </w:r>
      <w:bookmarkEnd w:id="54"/>
    </w:p>
    <w:p w:rsidR="0003502B" w:rsidRPr="0061020E" w:rsidRDefault="00AE2259" w:rsidP="008F6018">
      <w:pPr>
        <w:spacing w:after="120" w:line="240" w:lineRule="auto"/>
        <w:jc w:val="both"/>
        <w:rPr>
          <w:rFonts w:ascii="Rockwell" w:hAnsi="Rockwell"/>
          <w:sz w:val="24"/>
          <w:szCs w:val="24"/>
        </w:rPr>
      </w:pPr>
      <w:r w:rsidRPr="0061020E">
        <w:rPr>
          <w:rFonts w:ascii="Rockwell" w:hAnsi="Rockwell"/>
          <w:sz w:val="24"/>
          <w:szCs w:val="24"/>
        </w:rPr>
        <w:t>La sélection des candidats parmi les entreprises qui ont manifesté leur intérêt après parution d'un avis d'appel public à la concurrence</w:t>
      </w:r>
      <w:r w:rsidR="00AB7B50">
        <w:rPr>
          <w:rFonts w:ascii="Rockwell" w:hAnsi="Rockwell"/>
          <w:sz w:val="24"/>
          <w:szCs w:val="24"/>
        </w:rPr>
        <w:t>,</w:t>
      </w:r>
      <w:r w:rsidRPr="0061020E">
        <w:rPr>
          <w:rFonts w:ascii="Rockwell" w:hAnsi="Rockwell"/>
          <w:sz w:val="24"/>
          <w:szCs w:val="24"/>
        </w:rPr>
        <w:t xml:space="preserve"> intervient chaque fois qu'a été retenue une procédure </w:t>
      </w:r>
      <w:r w:rsidR="00424C64" w:rsidRPr="0061020E">
        <w:rPr>
          <w:rFonts w:ascii="Rockwell" w:hAnsi="Rockwell"/>
          <w:sz w:val="24"/>
          <w:szCs w:val="24"/>
        </w:rPr>
        <w:t xml:space="preserve">d'appel d'offres </w:t>
      </w:r>
      <w:r w:rsidRPr="0061020E">
        <w:rPr>
          <w:rFonts w:ascii="Rockwell" w:hAnsi="Rockwell"/>
          <w:sz w:val="24"/>
          <w:szCs w:val="24"/>
        </w:rPr>
        <w:t>restreint</w:t>
      </w:r>
      <w:r w:rsidR="00424C64" w:rsidRPr="0061020E">
        <w:rPr>
          <w:rFonts w:ascii="Rockwell" w:hAnsi="Rockwell"/>
          <w:sz w:val="24"/>
          <w:szCs w:val="24"/>
        </w:rPr>
        <w:t xml:space="preserve"> ou ouvert ou encore une demande de prix</w:t>
      </w:r>
      <w:r w:rsidRPr="0061020E">
        <w:rPr>
          <w:rFonts w:ascii="Rockwell" w:hAnsi="Rockwell"/>
          <w:sz w:val="24"/>
          <w:szCs w:val="24"/>
        </w:rPr>
        <w:t>. Il s'agit d'une opération délicate susceptible d'être contestée par les entreprises candidates qui ne sont pas consultées.</w:t>
      </w:r>
    </w:p>
    <w:p w:rsidR="00AE2259" w:rsidRPr="0061020E" w:rsidRDefault="0010759D" w:rsidP="008F6018">
      <w:pPr>
        <w:spacing w:after="120" w:line="240" w:lineRule="auto"/>
        <w:jc w:val="both"/>
        <w:rPr>
          <w:rFonts w:ascii="Rockwell" w:hAnsi="Rockwell"/>
          <w:sz w:val="24"/>
          <w:szCs w:val="24"/>
        </w:rPr>
      </w:pPr>
      <w:r>
        <w:rPr>
          <w:rFonts w:ascii="Rockwell" w:hAnsi="Rockwell"/>
          <w:sz w:val="24"/>
          <w:szCs w:val="24"/>
        </w:rPr>
        <w:t>En</w:t>
      </w:r>
      <w:r w:rsidR="00AE2259" w:rsidRPr="0061020E">
        <w:rPr>
          <w:rFonts w:ascii="Rockwell" w:hAnsi="Rockwell"/>
          <w:sz w:val="24"/>
          <w:szCs w:val="24"/>
        </w:rPr>
        <w:t xml:space="preserve"> tous les cas, la sélection s'applique à un couple fournisseur-produit</w:t>
      </w:r>
      <w:r>
        <w:rPr>
          <w:rFonts w:ascii="Rockwell" w:hAnsi="Rockwell"/>
          <w:sz w:val="24"/>
          <w:szCs w:val="24"/>
        </w:rPr>
        <w:t>,</w:t>
      </w:r>
      <w:r w:rsidR="00AE2259" w:rsidRPr="0061020E">
        <w:rPr>
          <w:rFonts w:ascii="Rockwell" w:hAnsi="Rockwell"/>
          <w:sz w:val="24"/>
          <w:szCs w:val="24"/>
        </w:rPr>
        <w:t xml:space="preserve"> c'est-à-dire au fournisseur pour son aptitude </w:t>
      </w:r>
      <w:r w:rsidR="001F7572" w:rsidRPr="0061020E">
        <w:rPr>
          <w:rFonts w:ascii="Rockwell" w:hAnsi="Rockwell"/>
          <w:sz w:val="24"/>
          <w:szCs w:val="24"/>
        </w:rPr>
        <w:t xml:space="preserve">à réaliser le produit (fourniture, travaux, </w:t>
      </w:r>
      <w:r w:rsidR="00424C64" w:rsidRPr="0061020E">
        <w:rPr>
          <w:rFonts w:ascii="Rockwell" w:hAnsi="Rockwell"/>
          <w:sz w:val="24"/>
          <w:szCs w:val="24"/>
        </w:rPr>
        <w:t xml:space="preserve">service) attendu ; </w:t>
      </w:r>
      <w:r w:rsidR="001F7572" w:rsidRPr="0061020E">
        <w:rPr>
          <w:rFonts w:ascii="Rockwell" w:hAnsi="Rockwell"/>
          <w:sz w:val="24"/>
          <w:szCs w:val="24"/>
        </w:rPr>
        <w:t>elle peut s'appuyer sur une cotation objective des fournisseurs.</w:t>
      </w:r>
      <w:r w:rsidR="00AE2259" w:rsidRPr="0061020E">
        <w:rPr>
          <w:rFonts w:ascii="Rockwell" w:hAnsi="Rockwell"/>
          <w:sz w:val="24"/>
          <w:szCs w:val="24"/>
        </w:rPr>
        <w:t xml:space="preserve"> </w:t>
      </w:r>
    </w:p>
    <w:p w:rsidR="001F7572" w:rsidRPr="0057016A" w:rsidRDefault="001F7572" w:rsidP="008F6018">
      <w:pPr>
        <w:spacing w:after="120" w:line="240" w:lineRule="auto"/>
        <w:jc w:val="both"/>
        <w:rPr>
          <w:rFonts w:ascii="Rockwell" w:hAnsi="Rockwell"/>
          <w:sz w:val="24"/>
          <w:szCs w:val="24"/>
          <w:highlight w:val="cyan"/>
        </w:rPr>
      </w:pPr>
      <w:r w:rsidRPr="0057016A">
        <w:rPr>
          <w:rFonts w:ascii="Rockwell" w:hAnsi="Rockwell"/>
          <w:sz w:val="24"/>
          <w:szCs w:val="24"/>
          <w:highlight w:val="cyan"/>
        </w:rPr>
        <w:t>Ne sont pas sélectionnés les fournisseurs qui n'ont pas donné satisfaction, par exemple</w:t>
      </w:r>
      <w:r w:rsidR="0010759D">
        <w:rPr>
          <w:rFonts w:ascii="Rockwell" w:hAnsi="Rockwell"/>
          <w:sz w:val="24"/>
          <w:szCs w:val="24"/>
          <w:highlight w:val="cyan"/>
        </w:rPr>
        <w:t>,</w:t>
      </w:r>
      <w:r w:rsidRPr="0057016A">
        <w:rPr>
          <w:rFonts w:ascii="Rockwell" w:hAnsi="Rockwell"/>
          <w:sz w:val="24"/>
          <w:szCs w:val="24"/>
          <w:highlight w:val="cyan"/>
        </w:rPr>
        <w:t xml:space="preserve"> pour les services et les travaux, en ce qui concerne :</w:t>
      </w:r>
    </w:p>
    <w:p w:rsidR="00F63A1F" w:rsidRPr="0057016A" w:rsidRDefault="001F7572"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la rapidité d'intervention ;</w:t>
      </w:r>
    </w:p>
    <w:p w:rsidR="00F63A1F" w:rsidRPr="0057016A" w:rsidRDefault="001F7572"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le respect des consignes de sécurité ;</w:t>
      </w:r>
    </w:p>
    <w:p w:rsidR="001F7572" w:rsidRPr="0057016A" w:rsidRDefault="001F7572" w:rsidP="008F6018">
      <w:pPr>
        <w:pStyle w:val="Paragraphedeliste"/>
        <w:numPr>
          <w:ilvl w:val="0"/>
          <w:numId w:val="106"/>
        </w:numPr>
        <w:spacing w:after="120" w:line="240" w:lineRule="auto"/>
        <w:jc w:val="both"/>
        <w:rPr>
          <w:rFonts w:ascii="Rockwell" w:hAnsi="Rockwell"/>
          <w:sz w:val="24"/>
          <w:szCs w:val="24"/>
          <w:highlight w:val="cyan"/>
        </w:rPr>
      </w:pPr>
      <w:r w:rsidRPr="0057016A">
        <w:rPr>
          <w:rFonts w:ascii="Rockwell" w:hAnsi="Rockwell"/>
          <w:sz w:val="24"/>
          <w:szCs w:val="24"/>
          <w:highlight w:val="cyan"/>
        </w:rPr>
        <w:t>la qualité de balisage pour des travaux routiers, etc.</w:t>
      </w:r>
    </w:p>
    <w:p w:rsidR="00F63A1F" w:rsidRPr="0057016A" w:rsidRDefault="00F63A1F" w:rsidP="00F63A1F">
      <w:pPr>
        <w:spacing w:after="120" w:line="240" w:lineRule="auto"/>
        <w:jc w:val="both"/>
        <w:rPr>
          <w:rFonts w:ascii="Rockwell" w:hAnsi="Rockwell"/>
          <w:sz w:val="24"/>
          <w:szCs w:val="24"/>
        </w:rPr>
      </w:pPr>
    </w:p>
    <w:p w:rsidR="001F7572" w:rsidRPr="00F63A1F" w:rsidRDefault="001F7572" w:rsidP="008F6018">
      <w:pPr>
        <w:pStyle w:val="Titre3"/>
        <w:numPr>
          <w:ilvl w:val="0"/>
          <w:numId w:val="89"/>
        </w:numPr>
        <w:spacing w:before="0" w:after="120" w:line="240" w:lineRule="auto"/>
        <w:jc w:val="both"/>
        <w:rPr>
          <w:rFonts w:ascii="Rockwell" w:hAnsi="Rockwell"/>
          <w:color w:val="auto"/>
          <w:sz w:val="24"/>
          <w:szCs w:val="24"/>
        </w:rPr>
      </w:pPr>
      <w:bookmarkStart w:id="55" w:name="_Toc505063277"/>
      <w:r w:rsidRPr="00F63A1F">
        <w:rPr>
          <w:rFonts w:ascii="Rockwell" w:hAnsi="Rockwell"/>
          <w:color w:val="auto"/>
          <w:sz w:val="24"/>
          <w:szCs w:val="24"/>
        </w:rPr>
        <w:t>Conditions à remplir sur la conformité</w:t>
      </w:r>
      <w:bookmarkEnd w:id="55"/>
    </w:p>
    <w:p w:rsidR="001F7572" w:rsidRPr="0061020E" w:rsidRDefault="001F7572" w:rsidP="008F6018">
      <w:pPr>
        <w:spacing w:after="120" w:line="240" w:lineRule="auto"/>
        <w:jc w:val="both"/>
        <w:rPr>
          <w:rFonts w:ascii="Rockwell" w:hAnsi="Rockwell"/>
          <w:sz w:val="24"/>
          <w:szCs w:val="24"/>
        </w:rPr>
      </w:pPr>
      <w:r w:rsidRPr="0061020E">
        <w:rPr>
          <w:rFonts w:ascii="Rockwell" w:hAnsi="Rockwell"/>
          <w:sz w:val="24"/>
          <w:szCs w:val="24"/>
        </w:rPr>
        <w:t>Pour préparer la sélection des candidats, les conditions de conformité imposées doivent être très explicites et non discriminatoires.</w:t>
      </w:r>
    </w:p>
    <w:p w:rsidR="001F7572" w:rsidRPr="0061020E" w:rsidRDefault="00307195" w:rsidP="008F6018">
      <w:pPr>
        <w:spacing w:after="120" w:line="240" w:lineRule="auto"/>
        <w:jc w:val="both"/>
        <w:rPr>
          <w:rFonts w:ascii="Rockwell" w:hAnsi="Rockwell"/>
          <w:sz w:val="24"/>
          <w:szCs w:val="24"/>
        </w:rPr>
      </w:pPr>
      <w:r w:rsidRPr="0061020E">
        <w:rPr>
          <w:rFonts w:ascii="Rockwell" w:hAnsi="Rockwell"/>
          <w:sz w:val="24"/>
          <w:szCs w:val="24"/>
        </w:rPr>
        <w:t>L</w:t>
      </w:r>
      <w:r w:rsidR="001F7572" w:rsidRPr="0061020E">
        <w:rPr>
          <w:rFonts w:ascii="Rockwell" w:hAnsi="Rockwell"/>
          <w:sz w:val="24"/>
          <w:szCs w:val="24"/>
        </w:rPr>
        <w:t>es renseignements demandés seulement à titre indicatif</w:t>
      </w:r>
      <w:r w:rsidR="00A31E78">
        <w:rPr>
          <w:rFonts w:ascii="Rockwell" w:hAnsi="Rockwell"/>
          <w:sz w:val="24"/>
          <w:szCs w:val="24"/>
        </w:rPr>
        <w:t>,</w:t>
      </w:r>
      <w:r w:rsidR="001F7572" w:rsidRPr="0061020E">
        <w:rPr>
          <w:rFonts w:ascii="Rockwell" w:hAnsi="Rockwell"/>
          <w:sz w:val="24"/>
          <w:szCs w:val="24"/>
        </w:rPr>
        <w:t xml:space="preserve"> sont clairement distingués des justifications exigées.</w:t>
      </w:r>
    </w:p>
    <w:p w:rsidR="001F7572" w:rsidRPr="0061020E" w:rsidRDefault="001F7572" w:rsidP="008F6018">
      <w:pPr>
        <w:spacing w:after="120" w:line="240" w:lineRule="auto"/>
        <w:jc w:val="both"/>
        <w:rPr>
          <w:rFonts w:ascii="Rockwell" w:hAnsi="Rockwell"/>
          <w:sz w:val="24"/>
          <w:szCs w:val="24"/>
        </w:rPr>
      </w:pPr>
      <w:r w:rsidRPr="0032688E">
        <w:rPr>
          <w:rFonts w:ascii="Rockwell" w:hAnsi="Rockwell"/>
          <w:sz w:val="24"/>
          <w:szCs w:val="24"/>
          <w:highlight w:val="lightGray"/>
        </w:rPr>
        <w:lastRenderedPageBreak/>
        <w:t>Par exemple</w:t>
      </w:r>
      <w:r w:rsidR="00A31E78">
        <w:rPr>
          <w:rFonts w:ascii="Rockwell" w:hAnsi="Rockwell"/>
          <w:sz w:val="24"/>
          <w:szCs w:val="24"/>
          <w:highlight w:val="lightGray"/>
        </w:rPr>
        <w:t>,</w:t>
      </w:r>
      <w:r w:rsidRPr="0032688E">
        <w:rPr>
          <w:rFonts w:ascii="Rockwell" w:hAnsi="Rockwell"/>
          <w:sz w:val="24"/>
          <w:szCs w:val="24"/>
          <w:highlight w:val="lightGray"/>
        </w:rPr>
        <w:t xml:space="preserve"> si un système qualité correspondant au modèle de la norme ISO 9001 a été jugé nécessaire, c'est une condition imposée : le document justificatif peut être une déclaration de l'entreprise sur l'existence et l'application effective d'un système qualité selon la norme ISO 9001 ou encore la photocopie d'un certificat de système qualité en cours de validité</w:t>
      </w:r>
      <w:r w:rsidR="00A31E78">
        <w:rPr>
          <w:rFonts w:ascii="Rockwell" w:hAnsi="Rockwell"/>
          <w:sz w:val="24"/>
          <w:szCs w:val="24"/>
          <w:highlight w:val="lightGray"/>
        </w:rPr>
        <w:t>,</w:t>
      </w:r>
      <w:r w:rsidRPr="0032688E">
        <w:rPr>
          <w:rFonts w:ascii="Rockwell" w:hAnsi="Rockwell"/>
          <w:sz w:val="24"/>
          <w:szCs w:val="24"/>
          <w:highlight w:val="lightGray"/>
        </w:rPr>
        <w:t xml:space="preserve"> selon cette norme.</w:t>
      </w:r>
    </w:p>
    <w:p w:rsidR="001F7572" w:rsidRPr="0061020E" w:rsidRDefault="001F7572" w:rsidP="008F6018">
      <w:pPr>
        <w:spacing w:after="120" w:line="240" w:lineRule="auto"/>
        <w:jc w:val="both"/>
        <w:rPr>
          <w:rFonts w:ascii="Rockwell" w:hAnsi="Rockwell"/>
          <w:sz w:val="24"/>
          <w:szCs w:val="24"/>
        </w:rPr>
      </w:pPr>
      <w:r w:rsidRPr="0061020E">
        <w:rPr>
          <w:rFonts w:ascii="Rockwell" w:hAnsi="Rockwell"/>
          <w:sz w:val="24"/>
          <w:szCs w:val="24"/>
        </w:rPr>
        <w:t>A la demande de renseignements sur les certificats obtenus, le soumissionnaire a la possibilité de répondre qu</w:t>
      </w:r>
      <w:r w:rsidR="00307195" w:rsidRPr="0061020E">
        <w:rPr>
          <w:rFonts w:ascii="Rockwell" w:hAnsi="Rockwell"/>
          <w:sz w:val="24"/>
          <w:szCs w:val="24"/>
        </w:rPr>
        <w:t>'il possède un certificat en co</w:t>
      </w:r>
      <w:r w:rsidRPr="0061020E">
        <w:rPr>
          <w:rFonts w:ascii="Rockwell" w:hAnsi="Rockwell"/>
          <w:sz w:val="24"/>
          <w:szCs w:val="24"/>
        </w:rPr>
        <w:t>urs de validité délivré par tel certificateur à telle date pour telle activité exercée sur tel site.</w:t>
      </w:r>
    </w:p>
    <w:p w:rsidR="00B63942" w:rsidRPr="0061020E" w:rsidRDefault="00B63942" w:rsidP="008F6018">
      <w:pPr>
        <w:spacing w:after="120" w:line="240" w:lineRule="auto"/>
        <w:jc w:val="both"/>
        <w:rPr>
          <w:rFonts w:ascii="Rockwell" w:hAnsi="Rockwell"/>
          <w:sz w:val="24"/>
          <w:szCs w:val="24"/>
        </w:rPr>
      </w:pPr>
      <w:r w:rsidRPr="0061020E">
        <w:rPr>
          <w:rFonts w:ascii="Rockwell" w:hAnsi="Rockwell"/>
          <w:sz w:val="24"/>
          <w:szCs w:val="24"/>
        </w:rPr>
        <w:t>Si l'acheteur choisit d'accepter des variantes techniques, le règlement de la consultation doit préciser la possibilité de pro</w:t>
      </w:r>
      <w:r w:rsidR="006D1AC9" w:rsidRPr="0061020E">
        <w:rPr>
          <w:rFonts w:ascii="Rockwell" w:hAnsi="Rockwell"/>
          <w:sz w:val="24"/>
          <w:szCs w:val="24"/>
        </w:rPr>
        <w:t>poser ces variantes et indiquer sur quoi elles peuvent porter, comme le prescrit l</w:t>
      </w:r>
      <w:r w:rsidR="00424C64" w:rsidRPr="0061020E">
        <w:rPr>
          <w:rFonts w:ascii="Rockwell" w:hAnsi="Rockwell"/>
          <w:sz w:val="24"/>
          <w:szCs w:val="24"/>
        </w:rPr>
        <w:t>a r</w:t>
      </w:r>
      <w:r w:rsidR="00A31E78">
        <w:rPr>
          <w:rFonts w:ascii="Rockwell" w:hAnsi="Rockwell"/>
          <w:sz w:val="24"/>
          <w:szCs w:val="24"/>
        </w:rPr>
        <w:t>é</w:t>
      </w:r>
      <w:r w:rsidR="00424C64" w:rsidRPr="0061020E">
        <w:rPr>
          <w:rFonts w:ascii="Rockwell" w:hAnsi="Rockwell"/>
          <w:sz w:val="24"/>
          <w:szCs w:val="24"/>
        </w:rPr>
        <w:t>glementation sur l</w:t>
      </w:r>
      <w:r w:rsidR="006D1AC9" w:rsidRPr="0061020E">
        <w:rPr>
          <w:rFonts w:ascii="Rockwell" w:hAnsi="Rockwell"/>
          <w:sz w:val="24"/>
          <w:szCs w:val="24"/>
        </w:rPr>
        <w:t>es marchés publics. Si les variantes ne sont pas admises, il doit également le préciser dans ce règlement.</w:t>
      </w:r>
    </w:p>
    <w:p w:rsidR="006D1AC9" w:rsidRPr="0057016A" w:rsidRDefault="006D1AC9" w:rsidP="008F6018">
      <w:pPr>
        <w:spacing w:after="120" w:line="240" w:lineRule="auto"/>
        <w:jc w:val="both"/>
        <w:rPr>
          <w:rFonts w:ascii="Rockwell" w:hAnsi="Rockwell"/>
          <w:color w:val="000000" w:themeColor="text1"/>
          <w:sz w:val="24"/>
          <w:szCs w:val="24"/>
        </w:rPr>
      </w:pPr>
      <w:r w:rsidRPr="0057016A">
        <w:rPr>
          <w:rFonts w:ascii="Rockwell" w:hAnsi="Rockwell"/>
          <w:color w:val="000000" w:themeColor="text1"/>
          <w:sz w:val="24"/>
          <w:szCs w:val="24"/>
          <w:highlight w:val="cyan"/>
        </w:rPr>
        <w:t xml:space="preserve">En matière de conformité, la question des équivalences de normes, de certificats ou de marques, se pose. L'acheteur n'a pas toujours le droit de les refuser. C'est pourquoi il a intérêt à préciser que la preuve de l'équivalence est à la charge du candidat ou du </w:t>
      </w:r>
      <w:r w:rsidR="009E4F6B" w:rsidRPr="0057016A">
        <w:rPr>
          <w:rFonts w:ascii="Rockwell" w:hAnsi="Rockwell"/>
          <w:color w:val="000000" w:themeColor="text1"/>
          <w:sz w:val="24"/>
          <w:szCs w:val="24"/>
          <w:highlight w:val="cyan"/>
        </w:rPr>
        <w:t>soumissionnaire.</w:t>
      </w:r>
    </w:p>
    <w:p w:rsidR="006D1AC9" w:rsidRPr="0061020E" w:rsidRDefault="006D1AC9" w:rsidP="008F6018">
      <w:pPr>
        <w:spacing w:after="120" w:line="240" w:lineRule="auto"/>
        <w:jc w:val="both"/>
        <w:rPr>
          <w:rFonts w:ascii="Rockwell" w:hAnsi="Rockwell"/>
          <w:sz w:val="24"/>
          <w:szCs w:val="24"/>
        </w:rPr>
      </w:pPr>
      <w:r w:rsidRPr="0061020E">
        <w:rPr>
          <w:rFonts w:ascii="Rockwell" w:hAnsi="Rockwell"/>
          <w:sz w:val="24"/>
          <w:szCs w:val="24"/>
        </w:rPr>
        <w:t>Lors de la sélection, il est conseillé de vérifier notamment</w:t>
      </w:r>
      <w:r w:rsidR="00A31E78">
        <w:rPr>
          <w:rFonts w:ascii="Rockwell" w:hAnsi="Rockwell"/>
          <w:sz w:val="24"/>
          <w:szCs w:val="24"/>
        </w:rPr>
        <w:t>,</w:t>
      </w:r>
      <w:r w:rsidRPr="0061020E">
        <w:rPr>
          <w:rFonts w:ascii="Rockwell" w:hAnsi="Rockwell"/>
          <w:sz w:val="24"/>
          <w:szCs w:val="24"/>
        </w:rPr>
        <w:t xml:space="preserve"> les différences mentionnées par les candidats, tout particulièrement pour les travaux et services.</w:t>
      </w:r>
    </w:p>
    <w:p w:rsidR="006D1AC9" w:rsidRPr="0061020E" w:rsidRDefault="006D1AC9" w:rsidP="008F6018">
      <w:pPr>
        <w:spacing w:after="120" w:line="240" w:lineRule="auto"/>
        <w:jc w:val="both"/>
        <w:rPr>
          <w:rFonts w:ascii="Rockwell" w:hAnsi="Rockwell"/>
          <w:sz w:val="24"/>
          <w:szCs w:val="24"/>
        </w:rPr>
      </w:pPr>
      <w:r w:rsidRPr="0061020E">
        <w:rPr>
          <w:rFonts w:ascii="Rockwell" w:hAnsi="Rockwell"/>
          <w:sz w:val="24"/>
          <w:szCs w:val="24"/>
        </w:rPr>
        <w:t>Certaines conditions préalables doivent être intégrées dans le marché</w:t>
      </w:r>
      <w:r w:rsidR="00A31E78">
        <w:rPr>
          <w:rFonts w:ascii="Rockwell" w:hAnsi="Rockwell"/>
          <w:sz w:val="24"/>
          <w:szCs w:val="24"/>
        </w:rPr>
        <w:t>,</w:t>
      </w:r>
      <w:r w:rsidRPr="0061020E">
        <w:rPr>
          <w:rFonts w:ascii="Rockwell" w:hAnsi="Rockwell"/>
          <w:sz w:val="24"/>
          <w:szCs w:val="24"/>
        </w:rPr>
        <w:t xml:space="preserve"> dans la mesure où elles correspondent à un engagement devant être respecté</w:t>
      </w:r>
      <w:r w:rsidR="00A31E78">
        <w:rPr>
          <w:rFonts w:ascii="Rockwell" w:hAnsi="Rockwell"/>
          <w:sz w:val="24"/>
          <w:szCs w:val="24"/>
        </w:rPr>
        <w:t>,</w:t>
      </w:r>
      <w:r w:rsidRPr="0061020E">
        <w:rPr>
          <w:rFonts w:ascii="Rockwell" w:hAnsi="Rockwell"/>
          <w:sz w:val="24"/>
          <w:szCs w:val="24"/>
        </w:rPr>
        <w:t xml:space="preserve"> pendant l'exécution du marché, par exemple</w:t>
      </w:r>
      <w:r w:rsidR="00A31E78">
        <w:rPr>
          <w:rFonts w:ascii="Rockwell" w:hAnsi="Rockwell"/>
          <w:sz w:val="24"/>
          <w:szCs w:val="24"/>
        </w:rPr>
        <w:t>,</w:t>
      </w:r>
      <w:r w:rsidRPr="0061020E">
        <w:rPr>
          <w:rFonts w:ascii="Rockwell" w:hAnsi="Rockwell"/>
          <w:sz w:val="24"/>
          <w:szCs w:val="24"/>
        </w:rPr>
        <w:t xml:space="preserve"> pour le plan assurance qualité ou les justifications d'équivalences évoquées</w:t>
      </w:r>
      <w:r w:rsidR="00A31E78">
        <w:rPr>
          <w:rFonts w:ascii="Rockwell" w:hAnsi="Rockwell"/>
          <w:sz w:val="24"/>
          <w:szCs w:val="24"/>
        </w:rPr>
        <w:t>,</w:t>
      </w:r>
      <w:r w:rsidRPr="0061020E">
        <w:rPr>
          <w:rFonts w:ascii="Rockwell" w:hAnsi="Rockwell"/>
          <w:sz w:val="24"/>
          <w:szCs w:val="24"/>
        </w:rPr>
        <w:t xml:space="preserve"> ci-dessus.</w:t>
      </w:r>
    </w:p>
    <w:p w:rsidR="006D1AC9" w:rsidRDefault="006D1AC9" w:rsidP="008F6018">
      <w:pPr>
        <w:spacing w:after="120" w:line="240" w:lineRule="auto"/>
        <w:jc w:val="both"/>
        <w:rPr>
          <w:rFonts w:ascii="Rockwell" w:hAnsi="Rockwell"/>
          <w:sz w:val="24"/>
          <w:szCs w:val="24"/>
        </w:rPr>
      </w:pPr>
      <w:r w:rsidRPr="0061020E">
        <w:rPr>
          <w:rFonts w:ascii="Rockwell" w:hAnsi="Rockwell"/>
          <w:sz w:val="24"/>
          <w:szCs w:val="24"/>
        </w:rPr>
        <w:t>L'acheteur est tenu de s'interdire toute divulgation qui pourrait contrevenir au respect d</w:t>
      </w:r>
      <w:r w:rsidR="00DE3D19" w:rsidRPr="0061020E">
        <w:rPr>
          <w:rFonts w:ascii="Rockwell" w:hAnsi="Rockwell"/>
          <w:sz w:val="24"/>
          <w:szCs w:val="24"/>
        </w:rPr>
        <w:t>u secret industriel.</w:t>
      </w:r>
    </w:p>
    <w:p w:rsidR="00F3614D" w:rsidRPr="0061020E" w:rsidRDefault="00F3614D" w:rsidP="008F6018">
      <w:pPr>
        <w:spacing w:after="120" w:line="240" w:lineRule="auto"/>
        <w:jc w:val="both"/>
        <w:rPr>
          <w:rFonts w:ascii="Rockwell" w:hAnsi="Rockwell"/>
          <w:sz w:val="24"/>
          <w:szCs w:val="24"/>
        </w:rPr>
      </w:pPr>
    </w:p>
    <w:p w:rsidR="00BA5F33" w:rsidRPr="000560EB" w:rsidRDefault="00BA5F33" w:rsidP="008F6018">
      <w:pPr>
        <w:pStyle w:val="Titre3"/>
        <w:numPr>
          <w:ilvl w:val="0"/>
          <w:numId w:val="89"/>
        </w:numPr>
        <w:spacing w:before="0" w:after="120" w:line="240" w:lineRule="auto"/>
        <w:jc w:val="both"/>
        <w:rPr>
          <w:rFonts w:ascii="Rockwell" w:hAnsi="Rockwell"/>
          <w:color w:val="auto"/>
          <w:sz w:val="24"/>
          <w:szCs w:val="24"/>
        </w:rPr>
      </w:pPr>
      <w:bookmarkStart w:id="56" w:name="_Toc505063278"/>
      <w:r w:rsidRPr="000560EB">
        <w:rPr>
          <w:rFonts w:ascii="Rockwell" w:hAnsi="Rockwell"/>
          <w:color w:val="auto"/>
          <w:sz w:val="24"/>
          <w:szCs w:val="24"/>
        </w:rPr>
        <w:t>Appréciation des certificats et justifications</w:t>
      </w:r>
      <w:bookmarkEnd w:id="56"/>
    </w:p>
    <w:p w:rsidR="00BA5F33" w:rsidRDefault="00BA5F33" w:rsidP="008F6018">
      <w:pPr>
        <w:spacing w:after="120" w:line="240" w:lineRule="auto"/>
        <w:jc w:val="both"/>
        <w:rPr>
          <w:rFonts w:ascii="Rockwell" w:hAnsi="Rockwell"/>
          <w:sz w:val="24"/>
          <w:szCs w:val="24"/>
        </w:rPr>
      </w:pPr>
      <w:r w:rsidRPr="0061020E">
        <w:rPr>
          <w:rFonts w:ascii="Rockwell" w:hAnsi="Rockwell"/>
          <w:sz w:val="24"/>
          <w:szCs w:val="24"/>
        </w:rPr>
        <w:t>Il s’agit de certificats et de justifications éventuellement</w:t>
      </w:r>
      <w:r w:rsidR="00A31E78">
        <w:rPr>
          <w:rFonts w:ascii="Rockwell" w:hAnsi="Rockwell"/>
          <w:sz w:val="24"/>
          <w:szCs w:val="24"/>
        </w:rPr>
        <w:t>,</w:t>
      </w:r>
      <w:r w:rsidRPr="0061020E">
        <w:rPr>
          <w:rFonts w:ascii="Rockwell" w:hAnsi="Rockwell"/>
          <w:sz w:val="24"/>
          <w:szCs w:val="24"/>
        </w:rPr>
        <w:t xml:space="preserve"> demandés dans </w:t>
      </w:r>
      <w:r w:rsidR="003821C5" w:rsidRPr="0061020E">
        <w:rPr>
          <w:rFonts w:ascii="Rockwell" w:hAnsi="Rockwell"/>
          <w:sz w:val="24"/>
          <w:szCs w:val="24"/>
        </w:rPr>
        <w:t xml:space="preserve">le dossier d’appel public </w:t>
      </w:r>
      <w:r w:rsidRPr="0061020E">
        <w:rPr>
          <w:rFonts w:ascii="Rockwell" w:hAnsi="Rockwell"/>
          <w:sz w:val="24"/>
          <w:szCs w:val="24"/>
        </w:rPr>
        <w:t>à la concurrence.</w:t>
      </w:r>
    </w:p>
    <w:p w:rsidR="00F3614D" w:rsidRPr="0061020E" w:rsidRDefault="00F3614D" w:rsidP="008F6018">
      <w:pPr>
        <w:spacing w:after="120" w:line="240" w:lineRule="auto"/>
        <w:jc w:val="both"/>
        <w:rPr>
          <w:rFonts w:ascii="Rockwell" w:hAnsi="Rockwell"/>
          <w:sz w:val="24"/>
          <w:szCs w:val="24"/>
        </w:rPr>
      </w:pPr>
    </w:p>
    <w:p w:rsidR="0010313D" w:rsidRPr="0061020E" w:rsidRDefault="0010313D" w:rsidP="008F6018">
      <w:pPr>
        <w:spacing w:after="120" w:line="240" w:lineRule="auto"/>
        <w:jc w:val="both"/>
        <w:rPr>
          <w:rFonts w:ascii="Rockwell" w:hAnsi="Rockwell"/>
          <w:i/>
          <w:sz w:val="24"/>
          <w:szCs w:val="24"/>
          <w:u w:val="single"/>
        </w:rPr>
      </w:pPr>
      <w:r w:rsidRPr="0061020E">
        <w:rPr>
          <w:rFonts w:ascii="Rockwell" w:hAnsi="Rockwell"/>
          <w:i/>
          <w:sz w:val="24"/>
          <w:szCs w:val="24"/>
          <w:u w:val="single"/>
        </w:rPr>
        <w:t>Certificat du produit</w:t>
      </w:r>
    </w:p>
    <w:p w:rsidR="0010313D" w:rsidRPr="0061020E" w:rsidRDefault="0010313D" w:rsidP="008F6018">
      <w:pPr>
        <w:spacing w:after="120" w:line="240" w:lineRule="auto"/>
        <w:jc w:val="both"/>
        <w:rPr>
          <w:rFonts w:ascii="Rockwell" w:hAnsi="Rockwell"/>
          <w:sz w:val="24"/>
          <w:szCs w:val="24"/>
        </w:rPr>
      </w:pPr>
      <w:r w:rsidRPr="0061020E">
        <w:rPr>
          <w:rFonts w:ascii="Rockwell" w:hAnsi="Rockwell"/>
          <w:sz w:val="24"/>
          <w:szCs w:val="24"/>
        </w:rPr>
        <w:t>La validité du certificat peut être jugée d’après les réponses aux questions suivantes :</w:t>
      </w:r>
    </w:p>
    <w:p w:rsidR="0010313D" w:rsidRPr="0061020E" w:rsidRDefault="00A31E7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10313D" w:rsidRPr="0061020E">
        <w:rPr>
          <w:rFonts w:ascii="Rockwell" w:hAnsi="Rockwell"/>
          <w:sz w:val="24"/>
          <w:szCs w:val="24"/>
        </w:rPr>
        <w:t>e produit</w:t>
      </w:r>
      <w:r>
        <w:rPr>
          <w:rFonts w:ascii="Rockwell" w:hAnsi="Rockwell"/>
          <w:sz w:val="24"/>
          <w:szCs w:val="24"/>
        </w:rPr>
        <w:t>,</w:t>
      </w:r>
      <w:r w:rsidR="0010313D" w:rsidRPr="0061020E">
        <w:rPr>
          <w:rFonts w:ascii="Rockwell" w:hAnsi="Rockwell"/>
          <w:sz w:val="24"/>
          <w:szCs w:val="24"/>
        </w:rPr>
        <w:t xml:space="preserve"> objet du certificat</w:t>
      </w:r>
      <w:r>
        <w:rPr>
          <w:rFonts w:ascii="Rockwell" w:hAnsi="Rockwell"/>
          <w:sz w:val="24"/>
          <w:szCs w:val="24"/>
        </w:rPr>
        <w:t>,</w:t>
      </w:r>
      <w:r w:rsidR="0010313D" w:rsidRPr="0061020E">
        <w:rPr>
          <w:rFonts w:ascii="Rockwell" w:hAnsi="Rockwell"/>
          <w:sz w:val="24"/>
          <w:szCs w:val="24"/>
        </w:rPr>
        <w:t xml:space="preserve"> correspond-t-il exactement à celui demandé ?</w:t>
      </w:r>
    </w:p>
    <w:p w:rsidR="0010313D" w:rsidRPr="0061020E" w:rsidRDefault="00A31E7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10313D" w:rsidRPr="0061020E">
        <w:rPr>
          <w:rFonts w:ascii="Rockwell" w:hAnsi="Rockwell"/>
          <w:sz w:val="24"/>
          <w:szCs w:val="24"/>
        </w:rPr>
        <w:t>a ou les norme</w:t>
      </w:r>
      <w:r>
        <w:rPr>
          <w:rFonts w:ascii="Rockwell" w:hAnsi="Rockwell"/>
          <w:sz w:val="24"/>
          <w:szCs w:val="24"/>
        </w:rPr>
        <w:t>(</w:t>
      </w:r>
      <w:r w:rsidR="0010313D" w:rsidRPr="0061020E">
        <w:rPr>
          <w:rFonts w:ascii="Rockwell" w:hAnsi="Rockwell"/>
          <w:sz w:val="24"/>
          <w:szCs w:val="24"/>
        </w:rPr>
        <w:t>s</w:t>
      </w:r>
      <w:r>
        <w:rPr>
          <w:rFonts w:ascii="Rockwell" w:hAnsi="Rockwell"/>
          <w:sz w:val="24"/>
          <w:szCs w:val="24"/>
        </w:rPr>
        <w:t>)</w:t>
      </w:r>
      <w:r w:rsidR="0010313D" w:rsidRPr="0061020E">
        <w:rPr>
          <w:rFonts w:ascii="Rockwell" w:hAnsi="Rockwell"/>
          <w:sz w:val="24"/>
          <w:szCs w:val="24"/>
        </w:rPr>
        <w:t xml:space="preserve"> de référence du certificat </w:t>
      </w:r>
      <w:r>
        <w:rPr>
          <w:rFonts w:ascii="Rockwell" w:hAnsi="Rockwell"/>
          <w:sz w:val="24"/>
          <w:szCs w:val="24"/>
        </w:rPr>
        <w:t xml:space="preserve">est-elle ou </w:t>
      </w:r>
      <w:r w:rsidR="0010313D" w:rsidRPr="0061020E">
        <w:rPr>
          <w:rFonts w:ascii="Rockwell" w:hAnsi="Rockwell"/>
          <w:sz w:val="24"/>
          <w:szCs w:val="24"/>
        </w:rPr>
        <w:t>sont-elles celle</w:t>
      </w:r>
      <w:r>
        <w:rPr>
          <w:rFonts w:ascii="Rockwell" w:hAnsi="Rockwell"/>
          <w:sz w:val="24"/>
          <w:szCs w:val="24"/>
        </w:rPr>
        <w:t>(</w:t>
      </w:r>
      <w:r w:rsidR="0010313D" w:rsidRPr="0061020E">
        <w:rPr>
          <w:rFonts w:ascii="Rockwell" w:hAnsi="Rockwell"/>
          <w:sz w:val="24"/>
          <w:szCs w:val="24"/>
        </w:rPr>
        <w:t>s</w:t>
      </w:r>
      <w:r>
        <w:rPr>
          <w:rFonts w:ascii="Rockwell" w:hAnsi="Rockwell"/>
          <w:sz w:val="24"/>
          <w:szCs w:val="24"/>
        </w:rPr>
        <w:t>)</w:t>
      </w:r>
      <w:r w:rsidR="0010313D" w:rsidRPr="0061020E">
        <w:rPr>
          <w:rFonts w:ascii="Rockwell" w:hAnsi="Rockwell"/>
          <w:sz w:val="24"/>
          <w:szCs w:val="24"/>
        </w:rPr>
        <w:t xml:space="preserve"> imposée</w:t>
      </w:r>
      <w:r w:rsidR="00BB4FBF">
        <w:rPr>
          <w:rFonts w:ascii="Rockwell" w:hAnsi="Rockwell"/>
          <w:sz w:val="24"/>
          <w:szCs w:val="24"/>
        </w:rPr>
        <w:t>(</w:t>
      </w:r>
      <w:r w:rsidR="0010313D" w:rsidRPr="0061020E">
        <w:rPr>
          <w:rFonts w:ascii="Rockwell" w:hAnsi="Rockwell"/>
          <w:sz w:val="24"/>
          <w:szCs w:val="24"/>
        </w:rPr>
        <w:t>s</w:t>
      </w:r>
      <w:r w:rsidR="00BB4FBF">
        <w:rPr>
          <w:rFonts w:ascii="Rockwell" w:hAnsi="Rockwell"/>
          <w:sz w:val="24"/>
          <w:szCs w:val="24"/>
        </w:rPr>
        <w:t>)</w:t>
      </w:r>
      <w:r w:rsidR="0010313D" w:rsidRPr="0061020E">
        <w:rPr>
          <w:rFonts w:ascii="Rockwell" w:hAnsi="Rockwell"/>
          <w:sz w:val="24"/>
          <w:szCs w:val="24"/>
        </w:rPr>
        <w:t> ?</w:t>
      </w:r>
    </w:p>
    <w:p w:rsidR="0010313D" w:rsidRPr="0061020E" w:rsidRDefault="00A31E7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10313D" w:rsidRPr="0061020E">
        <w:rPr>
          <w:rFonts w:ascii="Rockwell" w:hAnsi="Rockwell"/>
          <w:sz w:val="24"/>
          <w:szCs w:val="24"/>
        </w:rPr>
        <w:t>e certificat est-il toujours valable ? (date de validité du certificat, transfert éventuel de fabrication…)</w:t>
      </w:r>
    </w:p>
    <w:p w:rsidR="0010313D" w:rsidRPr="0061020E" w:rsidRDefault="00A31E7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10313D" w:rsidRPr="0061020E">
        <w:rPr>
          <w:rFonts w:ascii="Rockwell" w:hAnsi="Rockwell"/>
          <w:sz w:val="24"/>
          <w:szCs w:val="24"/>
        </w:rPr>
        <w:t>e libellé est-il clair, sans ambigüité, non sujet à interprétation ?</w:t>
      </w:r>
    </w:p>
    <w:p w:rsidR="0010313D" w:rsidRPr="0061020E" w:rsidRDefault="00A31E7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10313D" w:rsidRPr="0061020E">
        <w:rPr>
          <w:rFonts w:ascii="Rockwell" w:hAnsi="Rockwell"/>
          <w:sz w:val="24"/>
          <w:szCs w:val="24"/>
        </w:rPr>
        <w:t>’organisme de certification est-il accrédité </w:t>
      </w:r>
      <w:r w:rsidR="005D0823" w:rsidRPr="0061020E">
        <w:rPr>
          <w:rFonts w:ascii="Rockwell" w:hAnsi="Rockwell"/>
          <w:sz w:val="24"/>
          <w:szCs w:val="24"/>
        </w:rPr>
        <w:t>? Par quel organisme</w:t>
      </w:r>
      <w:r w:rsidR="0010313D" w:rsidRPr="0061020E">
        <w:rPr>
          <w:rFonts w:ascii="Rockwell" w:hAnsi="Rockwell"/>
          <w:sz w:val="24"/>
          <w:szCs w:val="24"/>
        </w:rPr>
        <w:t> ?</w:t>
      </w:r>
      <w:r w:rsidR="00F1702B" w:rsidRPr="0061020E">
        <w:rPr>
          <w:rFonts w:ascii="Rockwell" w:hAnsi="Rockwell"/>
          <w:sz w:val="24"/>
          <w:szCs w:val="24"/>
        </w:rPr>
        <w:t xml:space="preserve"> Dans quel domaine ? Ce domaine couvre-t-il le produit ?</w:t>
      </w:r>
    </w:p>
    <w:p w:rsidR="00F1702B" w:rsidRDefault="00F1702B" w:rsidP="008F6018">
      <w:pPr>
        <w:spacing w:after="120" w:line="240" w:lineRule="auto"/>
        <w:jc w:val="both"/>
        <w:rPr>
          <w:rFonts w:ascii="Rockwell" w:hAnsi="Rockwell"/>
          <w:sz w:val="24"/>
          <w:szCs w:val="24"/>
        </w:rPr>
      </w:pPr>
      <w:r w:rsidRPr="0061020E">
        <w:rPr>
          <w:rFonts w:ascii="Rockwell" w:hAnsi="Rockwell"/>
          <w:sz w:val="24"/>
          <w:szCs w:val="24"/>
        </w:rPr>
        <w:t>Parmi les vérifications possibles, l’acheteur peut demander au fournisseur la communication</w:t>
      </w:r>
      <w:r w:rsidR="00CA35B6" w:rsidRPr="0061020E">
        <w:rPr>
          <w:rFonts w:ascii="Rockwell" w:hAnsi="Rockwell"/>
          <w:sz w:val="24"/>
          <w:szCs w:val="24"/>
        </w:rPr>
        <w:t xml:space="preserve"> des certificats d’essai qui justifient le certificat de produit et, le cas échéant, </w:t>
      </w:r>
      <w:r w:rsidR="005D0823" w:rsidRPr="0061020E">
        <w:rPr>
          <w:rFonts w:ascii="Rockwell" w:hAnsi="Rockwell"/>
          <w:sz w:val="24"/>
          <w:szCs w:val="24"/>
        </w:rPr>
        <w:t>s</w:t>
      </w:r>
      <w:r w:rsidR="00CA35B6" w:rsidRPr="0061020E">
        <w:rPr>
          <w:rFonts w:ascii="Rockwell" w:hAnsi="Rockwell"/>
          <w:sz w:val="24"/>
          <w:szCs w:val="24"/>
        </w:rPr>
        <w:t>i de bonnes raisons existent, demander que soit refait un essai dans un laboratoire différent.</w:t>
      </w:r>
    </w:p>
    <w:p w:rsidR="00F3614D" w:rsidRDefault="00F3614D" w:rsidP="008F6018">
      <w:pPr>
        <w:spacing w:after="120" w:line="240" w:lineRule="auto"/>
        <w:jc w:val="both"/>
        <w:rPr>
          <w:rFonts w:ascii="Rockwell" w:hAnsi="Rockwell"/>
          <w:sz w:val="24"/>
          <w:szCs w:val="24"/>
        </w:rPr>
      </w:pPr>
    </w:p>
    <w:p w:rsidR="00984E05" w:rsidRPr="0061020E" w:rsidRDefault="00984E05" w:rsidP="008F6018">
      <w:pPr>
        <w:spacing w:after="120" w:line="240" w:lineRule="auto"/>
        <w:jc w:val="both"/>
        <w:rPr>
          <w:rFonts w:ascii="Rockwell" w:hAnsi="Rockwell"/>
          <w:sz w:val="24"/>
          <w:szCs w:val="24"/>
          <w:u w:val="single"/>
        </w:rPr>
      </w:pPr>
      <w:r w:rsidRPr="0061020E">
        <w:rPr>
          <w:rFonts w:ascii="Rockwell" w:hAnsi="Rockwell"/>
          <w:sz w:val="24"/>
          <w:szCs w:val="24"/>
          <w:u w:val="single"/>
        </w:rPr>
        <w:lastRenderedPageBreak/>
        <w:t>Certificat d’essai-</w:t>
      </w:r>
      <w:r w:rsidR="00605E86" w:rsidRPr="0061020E">
        <w:rPr>
          <w:rFonts w:ascii="Rockwell" w:hAnsi="Rockwell"/>
          <w:sz w:val="24"/>
          <w:szCs w:val="24"/>
          <w:u w:val="single"/>
        </w:rPr>
        <w:t>r</w:t>
      </w:r>
      <w:r w:rsidRPr="0061020E">
        <w:rPr>
          <w:rFonts w:ascii="Rockwell" w:hAnsi="Rockwell"/>
          <w:sz w:val="24"/>
          <w:szCs w:val="24"/>
          <w:u w:val="single"/>
        </w:rPr>
        <w:t>apport d’essai</w:t>
      </w:r>
    </w:p>
    <w:p w:rsidR="00984E05" w:rsidRPr="0061020E" w:rsidRDefault="00984E05" w:rsidP="008F6018">
      <w:pPr>
        <w:spacing w:after="120" w:line="240" w:lineRule="auto"/>
        <w:jc w:val="both"/>
        <w:rPr>
          <w:rFonts w:ascii="Rockwell" w:hAnsi="Rockwell"/>
          <w:sz w:val="24"/>
          <w:szCs w:val="24"/>
        </w:rPr>
      </w:pPr>
      <w:r w:rsidRPr="0061020E">
        <w:rPr>
          <w:rFonts w:ascii="Rockwell" w:hAnsi="Rockwell"/>
          <w:sz w:val="24"/>
          <w:szCs w:val="24"/>
        </w:rPr>
        <w:t>Lorsque les certificats d’essai sont fournis par une entreprise en accompagnement de sa candidature, l’acheteur peut se poser les questions suivantes :</w:t>
      </w:r>
    </w:p>
    <w:p w:rsidR="00984E05" w:rsidRPr="0061020E" w:rsidRDefault="00605E86"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de quels essais s’agit-il ? En référence à quels documents normatifs ? correspondent-ils aux besoins exprimés ?</w:t>
      </w:r>
    </w:p>
    <w:p w:rsidR="00984E05" w:rsidRPr="0061020E" w:rsidRDefault="00605E86"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 certificat est-il signé, la signature authentifiée ?</w:t>
      </w:r>
    </w:p>
    <w:p w:rsidR="00984E05" w:rsidRPr="0061020E" w:rsidRDefault="00605E86"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 certificat provient –il d’un laboratoire indépendant ?</w:t>
      </w:r>
    </w:p>
    <w:p w:rsidR="00984E05" w:rsidRPr="0061020E" w:rsidRDefault="00605E86"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 laboratoire est –il accrédité pour le type d’essai réalisé ? s’il n’en est pas ainsi, il est recommandé de demander un certificat d’un laboratoire reconnu pour le type d’essai en cause.</w:t>
      </w:r>
    </w:p>
    <w:p w:rsidR="00984E05" w:rsidRPr="0061020E" w:rsidRDefault="00605E86"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l’accréditeur est-il reconnu ?</w:t>
      </w:r>
    </w:p>
    <w:p w:rsidR="00C27DB2" w:rsidRDefault="00605E86" w:rsidP="008F6018">
      <w:pPr>
        <w:pStyle w:val="Paragraphedeliste"/>
        <w:spacing w:after="120" w:line="240" w:lineRule="auto"/>
        <w:jc w:val="both"/>
        <w:rPr>
          <w:rFonts w:ascii="Rockwell" w:hAnsi="Rockwell"/>
          <w:sz w:val="24"/>
          <w:szCs w:val="24"/>
        </w:rPr>
      </w:pPr>
      <w:r w:rsidRPr="0061020E">
        <w:rPr>
          <w:rFonts w:ascii="Rockwell" w:hAnsi="Rockwell"/>
          <w:sz w:val="24"/>
          <w:szCs w:val="24"/>
        </w:rPr>
        <w:t xml:space="preserve">il convient de rappeler que le rapport d’essai donne des renseignements plus nombreux et plus complets que le certificat d’essai.  </w:t>
      </w:r>
    </w:p>
    <w:p w:rsidR="00F3614D" w:rsidRPr="0061020E" w:rsidRDefault="00F3614D" w:rsidP="008F6018">
      <w:pPr>
        <w:pStyle w:val="Paragraphedeliste"/>
        <w:spacing w:after="120" w:line="240" w:lineRule="auto"/>
        <w:jc w:val="both"/>
        <w:rPr>
          <w:rFonts w:ascii="Rockwell" w:hAnsi="Rockwell"/>
          <w:sz w:val="24"/>
          <w:szCs w:val="24"/>
        </w:rPr>
      </w:pPr>
    </w:p>
    <w:p w:rsidR="00386657" w:rsidRPr="0061020E" w:rsidRDefault="00386657" w:rsidP="008F6018">
      <w:pPr>
        <w:spacing w:after="120" w:line="240" w:lineRule="auto"/>
        <w:jc w:val="both"/>
        <w:rPr>
          <w:rFonts w:ascii="Rockwell" w:hAnsi="Rockwell"/>
          <w:sz w:val="24"/>
          <w:szCs w:val="24"/>
          <w:u w:val="single"/>
        </w:rPr>
      </w:pPr>
      <w:r w:rsidRPr="0061020E">
        <w:rPr>
          <w:rFonts w:ascii="Rockwell" w:hAnsi="Rockwell"/>
          <w:sz w:val="24"/>
          <w:szCs w:val="24"/>
          <w:u w:val="single"/>
        </w:rPr>
        <w:t>Système qualité ou certificat de système qualité</w:t>
      </w:r>
    </w:p>
    <w:p w:rsidR="00386657" w:rsidRDefault="00386657" w:rsidP="008F6018">
      <w:pPr>
        <w:spacing w:after="120" w:line="240" w:lineRule="auto"/>
        <w:jc w:val="both"/>
        <w:rPr>
          <w:rFonts w:ascii="Rockwell" w:hAnsi="Rockwell"/>
          <w:sz w:val="24"/>
          <w:szCs w:val="24"/>
        </w:rPr>
      </w:pPr>
      <w:r w:rsidRPr="0061020E">
        <w:rPr>
          <w:rFonts w:ascii="Rockwell" w:hAnsi="Rockwell"/>
          <w:sz w:val="24"/>
          <w:szCs w:val="24"/>
        </w:rPr>
        <w:t>Il s’agit des cas où le candidat dispose d’un système</w:t>
      </w:r>
      <w:r w:rsidR="00BA0C56" w:rsidRPr="0061020E">
        <w:rPr>
          <w:rFonts w:ascii="Rockwell" w:hAnsi="Rockwell"/>
          <w:sz w:val="24"/>
          <w:szCs w:val="24"/>
        </w:rPr>
        <w:t xml:space="preserve"> qualité ou présente spontanément</w:t>
      </w:r>
      <w:r w:rsidR="00A02452">
        <w:rPr>
          <w:rFonts w:ascii="Rockwell" w:hAnsi="Rockwell"/>
          <w:sz w:val="24"/>
          <w:szCs w:val="24"/>
        </w:rPr>
        <w:t>,</w:t>
      </w:r>
      <w:r w:rsidR="00BA0C56" w:rsidRPr="0061020E">
        <w:rPr>
          <w:rFonts w:ascii="Rockwell" w:hAnsi="Rockwell"/>
          <w:sz w:val="24"/>
          <w:szCs w:val="24"/>
        </w:rPr>
        <w:t xml:space="preserve"> un certificat qui n’a pas été exigé.</w:t>
      </w:r>
    </w:p>
    <w:p w:rsidR="00BA0C56" w:rsidRPr="0061020E" w:rsidRDefault="00BA0C56" w:rsidP="008F6018">
      <w:pPr>
        <w:spacing w:after="120" w:line="240" w:lineRule="auto"/>
        <w:jc w:val="both"/>
        <w:rPr>
          <w:rFonts w:ascii="Rockwell" w:hAnsi="Rockwell"/>
          <w:sz w:val="24"/>
          <w:szCs w:val="24"/>
        </w:rPr>
      </w:pPr>
      <w:r w:rsidRPr="0061020E">
        <w:rPr>
          <w:rFonts w:ascii="Rockwell" w:hAnsi="Rockwell"/>
          <w:sz w:val="24"/>
          <w:szCs w:val="24"/>
        </w:rPr>
        <w:t>Sur le système qualité, l’acheteur est amené à se poser les questions suivantes :</w:t>
      </w:r>
    </w:p>
    <w:p w:rsidR="00BA0C56" w:rsidRPr="0061020E" w:rsidRDefault="004002DE"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 système recouvre-t-il bien les activités relatives à l’exécution du marché ?</w:t>
      </w:r>
    </w:p>
    <w:p w:rsidR="00BA0C56" w:rsidRPr="0061020E" w:rsidRDefault="004002DE"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quel est le référentiel ?</w:t>
      </w:r>
    </w:p>
    <w:p w:rsidR="00BA0C56" w:rsidRPr="0061020E" w:rsidRDefault="004002DE"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 xml:space="preserve">le </w:t>
      </w:r>
      <w:r w:rsidR="00BA0C56" w:rsidRPr="0061020E">
        <w:rPr>
          <w:rFonts w:ascii="Rockwell" w:hAnsi="Rockwell"/>
          <w:sz w:val="24"/>
          <w:szCs w:val="24"/>
        </w:rPr>
        <w:t>manuel et les procédures sont-ils appliqués ?</w:t>
      </w:r>
    </w:p>
    <w:p w:rsidR="00BA0C56" w:rsidRPr="0061020E" w:rsidRDefault="00BA0C56" w:rsidP="008F6018">
      <w:pPr>
        <w:spacing w:after="120" w:line="240" w:lineRule="auto"/>
        <w:jc w:val="both"/>
        <w:rPr>
          <w:rFonts w:ascii="Rockwell" w:hAnsi="Rockwell"/>
          <w:sz w:val="24"/>
          <w:szCs w:val="24"/>
        </w:rPr>
      </w:pPr>
      <w:r w:rsidRPr="0061020E">
        <w:rPr>
          <w:rFonts w:ascii="Rockwell" w:hAnsi="Rockwell"/>
          <w:sz w:val="24"/>
          <w:szCs w:val="24"/>
        </w:rPr>
        <w:t>Parmi les vérifications possibles, il est usuel de demander au fournisseur la communication de son manuel d’assurance de la qualité et de réaliser ou de faire réaliser un audit.</w:t>
      </w:r>
    </w:p>
    <w:p w:rsidR="00BA0C56" w:rsidRPr="0061020E" w:rsidRDefault="00BA0C56" w:rsidP="008F6018">
      <w:pPr>
        <w:spacing w:after="120" w:line="240" w:lineRule="auto"/>
        <w:jc w:val="both"/>
        <w:rPr>
          <w:rFonts w:ascii="Rockwell" w:hAnsi="Rockwell"/>
          <w:sz w:val="24"/>
          <w:szCs w:val="24"/>
        </w:rPr>
      </w:pPr>
      <w:r w:rsidRPr="0061020E">
        <w:rPr>
          <w:rFonts w:ascii="Rockwell" w:hAnsi="Rockwell"/>
          <w:sz w:val="24"/>
          <w:szCs w:val="24"/>
        </w:rPr>
        <w:t>Sur le certificat, il y a lieu de se poser les questions suivantes :</w:t>
      </w:r>
    </w:p>
    <w:p w:rsidR="00BA0C56"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les activités relatives à l’exécution du marché sont-elles bien couvertes par le certificat dans ses champ et domaine d’application ?</w:t>
      </w:r>
    </w:p>
    <w:p w:rsidR="00BA0C56"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l’intitulé du certificat est-il précis et sans ambiguïté possible ?</w:t>
      </w:r>
    </w:p>
    <w:p w:rsidR="00BA0C56"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 xml:space="preserve">quel est le référentiel utilisé par le certificateur ? </w:t>
      </w:r>
    </w:p>
    <w:p w:rsidR="00BA0C56"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l’organisation du fournisseur n’a-t-elle pas changé depuis l’attribution du certificat ou le dernier audit de suivi ?</w:t>
      </w:r>
    </w:p>
    <w:p w:rsidR="00BA0C56"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le certificat est-il toujours valide ?</w:t>
      </w:r>
    </w:p>
    <w:p w:rsidR="00A439FB" w:rsidRPr="0061020E" w:rsidRDefault="00A02452"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l’organisme de certification est-il accrédité par le cofrac (ou équivalent) pour le domaine concerné </w:t>
      </w:r>
      <w:r w:rsidR="00A439FB" w:rsidRPr="0061020E">
        <w:rPr>
          <w:rFonts w:ascii="Rockwell" w:hAnsi="Rockwell"/>
          <w:sz w:val="24"/>
          <w:szCs w:val="24"/>
        </w:rPr>
        <w:t>?</w:t>
      </w:r>
    </w:p>
    <w:p w:rsidR="00BA5F33" w:rsidRDefault="00FE5C0A" w:rsidP="008F6018">
      <w:pPr>
        <w:spacing w:after="120" w:line="240" w:lineRule="auto"/>
        <w:jc w:val="both"/>
        <w:rPr>
          <w:rFonts w:ascii="Rockwell" w:hAnsi="Rockwell"/>
          <w:sz w:val="24"/>
          <w:szCs w:val="24"/>
        </w:rPr>
      </w:pPr>
      <w:r w:rsidRPr="0061020E">
        <w:rPr>
          <w:rFonts w:ascii="Rockwell" w:hAnsi="Rockwell"/>
          <w:sz w:val="24"/>
          <w:szCs w:val="24"/>
        </w:rPr>
        <w:t>Parmi les vérifications possibles, il est normal de demander la communication des rapports d’audit effectués par le certificateur, car le fournisseur peut librement en disposer, ce qui n’est en général</w:t>
      </w:r>
      <w:r w:rsidR="00D516D6">
        <w:rPr>
          <w:rFonts w:ascii="Rockwell" w:hAnsi="Rockwell"/>
          <w:sz w:val="24"/>
          <w:szCs w:val="24"/>
        </w:rPr>
        <w:t>,</w:t>
      </w:r>
      <w:r w:rsidRPr="0061020E">
        <w:rPr>
          <w:rFonts w:ascii="Rockwell" w:hAnsi="Rockwell"/>
          <w:sz w:val="24"/>
          <w:szCs w:val="24"/>
        </w:rPr>
        <w:t xml:space="preserve"> pas le cas des rapports d’audit établis par les donneurs d’ordre. En cas de doute, des vérifications peuvent être menées sur place, </w:t>
      </w:r>
      <w:r w:rsidR="00D516D6">
        <w:rPr>
          <w:rFonts w:ascii="Rockwell" w:hAnsi="Rockwell"/>
          <w:sz w:val="24"/>
          <w:szCs w:val="24"/>
        </w:rPr>
        <w:t>mais</w:t>
      </w:r>
      <w:r w:rsidRPr="0061020E">
        <w:rPr>
          <w:rFonts w:ascii="Rockwell" w:hAnsi="Rockwell"/>
          <w:sz w:val="24"/>
          <w:szCs w:val="24"/>
        </w:rPr>
        <w:t xml:space="preserve"> nécessitent toutefois un auditeur expérimenté.</w:t>
      </w:r>
    </w:p>
    <w:p w:rsidR="00F3614D" w:rsidRPr="0061020E" w:rsidRDefault="00F3614D" w:rsidP="008F6018">
      <w:pPr>
        <w:spacing w:after="120" w:line="240" w:lineRule="auto"/>
        <w:jc w:val="both"/>
        <w:rPr>
          <w:rFonts w:ascii="Rockwell" w:hAnsi="Rockwell"/>
          <w:sz w:val="24"/>
          <w:szCs w:val="24"/>
        </w:rPr>
      </w:pPr>
    </w:p>
    <w:p w:rsidR="00D25A71" w:rsidRPr="000560EB" w:rsidRDefault="00192ACB" w:rsidP="008F6018">
      <w:pPr>
        <w:pStyle w:val="Titre3"/>
        <w:numPr>
          <w:ilvl w:val="0"/>
          <w:numId w:val="89"/>
        </w:numPr>
        <w:spacing w:before="0" w:after="120" w:line="240" w:lineRule="auto"/>
        <w:jc w:val="both"/>
        <w:rPr>
          <w:rFonts w:ascii="Rockwell" w:hAnsi="Rockwell"/>
          <w:color w:val="auto"/>
          <w:sz w:val="24"/>
          <w:szCs w:val="24"/>
        </w:rPr>
      </w:pPr>
      <w:bookmarkStart w:id="57" w:name="_Toc462905155"/>
      <w:bookmarkStart w:id="58" w:name="_Toc462905370"/>
      <w:bookmarkStart w:id="59" w:name="_Toc462906218"/>
      <w:bookmarkStart w:id="60" w:name="_Toc462906359"/>
      <w:bookmarkStart w:id="61" w:name="_Toc505063279"/>
      <w:bookmarkEnd w:id="57"/>
      <w:bookmarkEnd w:id="58"/>
      <w:bookmarkEnd w:id="59"/>
      <w:bookmarkEnd w:id="60"/>
      <w:r w:rsidRPr="000560EB">
        <w:rPr>
          <w:rFonts w:ascii="Rockwell" w:hAnsi="Rockwell"/>
          <w:color w:val="auto"/>
          <w:sz w:val="24"/>
          <w:szCs w:val="24"/>
        </w:rPr>
        <w:t>Évaluation</w:t>
      </w:r>
      <w:r w:rsidR="00D25A71" w:rsidRPr="000560EB">
        <w:rPr>
          <w:rFonts w:ascii="Rockwell" w:hAnsi="Rockwell"/>
          <w:color w:val="auto"/>
          <w:sz w:val="24"/>
          <w:szCs w:val="24"/>
        </w:rPr>
        <w:t xml:space="preserve"> des offres</w:t>
      </w:r>
      <w:bookmarkEnd w:id="61"/>
    </w:p>
    <w:p w:rsidR="00D25A71" w:rsidRPr="0061020E" w:rsidRDefault="00192ACB" w:rsidP="008F6018">
      <w:pPr>
        <w:spacing w:after="120" w:line="240" w:lineRule="auto"/>
        <w:jc w:val="both"/>
        <w:rPr>
          <w:rFonts w:ascii="Rockwell" w:hAnsi="Rockwell"/>
          <w:sz w:val="24"/>
          <w:szCs w:val="24"/>
        </w:rPr>
      </w:pPr>
      <w:r w:rsidRPr="0061020E">
        <w:rPr>
          <w:rFonts w:ascii="Rockwell" w:hAnsi="Rockwell"/>
          <w:sz w:val="24"/>
          <w:szCs w:val="24"/>
        </w:rPr>
        <w:t>L’évaluation</w:t>
      </w:r>
      <w:r w:rsidR="00D25A71" w:rsidRPr="0061020E">
        <w:rPr>
          <w:rFonts w:ascii="Rockwell" w:hAnsi="Rockwell"/>
          <w:sz w:val="24"/>
          <w:szCs w:val="24"/>
        </w:rPr>
        <w:t xml:space="preserve"> des offres commence</w:t>
      </w:r>
      <w:r w:rsidR="00D516D6">
        <w:rPr>
          <w:rFonts w:ascii="Rockwell" w:hAnsi="Rockwell"/>
          <w:sz w:val="24"/>
          <w:szCs w:val="24"/>
        </w:rPr>
        <w:t>,</w:t>
      </w:r>
      <w:r w:rsidR="00D25A71" w:rsidRPr="0061020E">
        <w:rPr>
          <w:rFonts w:ascii="Rockwell" w:hAnsi="Rockwell"/>
          <w:sz w:val="24"/>
          <w:szCs w:val="24"/>
        </w:rPr>
        <w:t xml:space="preserve"> après l’établissement du procès-verbal d’ouverture des offres et l’élimination de celles qui ne répondent pas au cahier des charges : pour ce qui concerne la conformité, il ne s’agit pas ici</w:t>
      </w:r>
      <w:r w:rsidR="00D516D6">
        <w:rPr>
          <w:rFonts w:ascii="Rockwell" w:hAnsi="Rockwell"/>
          <w:sz w:val="24"/>
          <w:szCs w:val="24"/>
        </w:rPr>
        <w:t>,</w:t>
      </w:r>
      <w:r w:rsidR="00D25A71" w:rsidRPr="0061020E">
        <w:rPr>
          <w:rFonts w:ascii="Rockwell" w:hAnsi="Rockwell"/>
          <w:sz w:val="24"/>
          <w:szCs w:val="24"/>
        </w:rPr>
        <w:t xml:space="preserve"> de reprendre la sélection, mais seulement de vérifier que l’offre est conforme aux exigences éventuellement exprimées dans la consultation.</w:t>
      </w:r>
    </w:p>
    <w:p w:rsidR="007D2F7A" w:rsidRDefault="007D2F7A" w:rsidP="008F6018">
      <w:pPr>
        <w:spacing w:after="120" w:line="240" w:lineRule="auto"/>
        <w:jc w:val="both"/>
        <w:rPr>
          <w:rFonts w:ascii="Rockwell" w:hAnsi="Rockwell"/>
          <w:sz w:val="24"/>
          <w:szCs w:val="24"/>
        </w:rPr>
      </w:pPr>
      <w:r w:rsidRPr="0061020E">
        <w:rPr>
          <w:rFonts w:ascii="Rockwell" w:hAnsi="Rockwell"/>
          <w:sz w:val="24"/>
          <w:szCs w:val="24"/>
        </w:rPr>
        <w:lastRenderedPageBreak/>
        <w:t>L’acheteur doit appliquer les critères d</w:t>
      </w:r>
      <w:r w:rsidR="006D5F16" w:rsidRPr="0061020E">
        <w:rPr>
          <w:rFonts w:ascii="Rockwell" w:hAnsi="Rockwell"/>
          <w:sz w:val="24"/>
          <w:szCs w:val="24"/>
        </w:rPr>
        <w:t xml:space="preserve">‘évaluation </w:t>
      </w:r>
      <w:r w:rsidRPr="0061020E">
        <w:rPr>
          <w:rFonts w:ascii="Rockwell" w:hAnsi="Rockwell"/>
          <w:sz w:val="24"/>
          <w:szCs w:val="24"/>
        </w:rPr>
        <w:t>qu’il a indiqués dans le règlement de</w:t>
      </w:r>
      <w:r w:rsidR="00F224E5" w:rsidRPr="0061020E">
        <w:rPr>
          <w:rFonts w:ascii="Rockwell" w:hAnsi="Rockwell"/>
          <w:sz w:val="24"/>
          <w:szCs w:val="24"/>
        </w:rPr>
        <w:t xml:space="preserve"> </w:t>
      </w:r>
      <w:r w:rsidRPr="0061020E">
        <w:rPr>
          <w:rFonts w:ascii="Rockwell" w:hAnsi="Rockwell"/>
          <w:sz w:val="24"/>
          <w:szCs w:val="24"/>
        </w:rPr>
        <w:t>la consultation : certains facteurs (rendement, coût d’entretien, disponibilité, etc.) peuvent alors</w:t>
      </w:r>
      <w:r w:rsidR="00D516D6">
        <w:rPr>
          <w:rFonts w:ascii="Rockwell" w:hAnsi="Rockwell"/>
          <w:sz w:val="24"/>
          <w:szCs w:val="24"/>
        </w:rPr>
        <w:t>,</w:t>
      </w:r>
      <w:r w:rsidRPr="0061020E">
        <w:rPr>
          <w:rFonts w:ascii="Rockwell" w:hAnsi="Rockwell"/>
          <w:sz w:val="24"/>
          <w:szCs w:val="24"/>
        </w:rPr>
        <w:t xml:space="preserve"> être objectivement chiffrés.</w:t>
      </w:r>
    </w:p>
    <w:p w:rsidR="00F3614D" w:rsidRPr="0061020E" w:rsidRDefault="00F3614D" w:rsidP="008F6018">
      <w:pPr>
        <w:spacing w:after="120" w:line="240" w:lineRule="auto"/>
        <w:jc w:val="both"/>
        <w:rPr>
          <w:rFonts w:ascii="Rockwell" w:hAnsi="Rockwell"/>
          <w:sz w:val="24"/>
          <w:szCs w:val="24"/>
        </w:rPr>
      </w:pPr>
    </w:p>
    <w:p w:rsidR="007D2F7A" w:rsidRPr="000560EB" w:rsidRDefault="007D2F7A" w:rsidP="008F6018">
      <w:pPr>
        <w:pStyle w:val="Titre2"/>
        <w:numPr>
          <w:ilvl w:val="0"/>
          <w:numId w:val="88"/>
        </w:numPr>
        <w:spacing w:before="0" w:after="120" w:line="240" w:lineRule="auto"/>
        <w:jc w:val="both"/>
        <w:rPr>
          <w:rFonts w:ascii="Rockwell" w:hAnsi="Rockwell"/>
          <w:color w:val="auto"/>
          <w:sz w:val="24"/>
          <w:szCs w:val="24"/>
        </w:rPr>
      </w:pPr>
      <w:bookmarkStart w:id="62" w:name="_Toc503784924"/>
      <w:bookmarkStart w:id="63" w:name="_Toc505063280"/>
      <w:r w:rsidRPr="000560EB">
        <w:rPr>
          <w:rFonts w:ascii="Rockwell" w:hAnsi="Rockwell"/>
          <w:color w:val="auto"/>
          <w:sz w:val="24"/>
          <w:szCs w:val="24"/>
        </w:rPr>
        <w:t>Surveillance en cours de réalisation</w:t>
      </w:r>
      <w:bookmarkEnd w:id="62"/>
      <w:bookmarkEnd w:id="63"/>
    </w:p>
    <w:p w:rsidR="007D2F7A" w:rsidRPr="008A3749" w:rsidRDefault="007D2F7A" w:rsidP="008F6018">
      <w:pPr>
        <w:pStyle w:val="Titre3"/>
        <w:numPr>
          <w:ilvl w:val="0"/>
          <w:numId w:val="91"/>
        </w:numPr>
        <w:spacing w:before="0" w:after="120" w:line="240" w:lineRule="auto"/>
        <w:jc w:val="both"/>
        <w:rPr>
          <w:rFonts w:ascii="Rockwell" w:hAnsi="Rockwell"/>
          <w:color w:val="auto"/>
          <w:sz w:val="24"/>
          <w:szCs w:val="24"/>
        </w:rPr>
      </w:pPr>
      <w:bookmarkStart w:id="64" w:name="_Toc462404755"/>
      <w:bookmarkStart w:id="65" w:name="_Toc462414100"/>
      <w:bookmarkStart w:id="66" w:name="_Toc462414351"/>
      <w:bookmarkStart w:id="67" w:name="_Toc462414602"/>
      <w:bookmarkStart w:id="68" w:name="_Toc462414786"/>
      <w:bookmarkStart w:id="69" w:name="_Toc505063281"/>
      <w:bookmarkEnd w:id="64"/>
      <w:bookmarkEnd w:id="65"/>
      <w:bookmarkEnd w:id="66"/>
      <w:bookmarkEnd w:id="67"/>
      <w:bookmarkEnd w:id="68"/>
      <w:r w:rsidRPr="008A3749">
        <w:rPr>
          <w:rFonts w:ascii="Rockwell" w:hAnsi="Rockwell"/>
          <w:color w:val="auto"/>
          <w:sz w:val="24"/>
          <w:szCs w:val="24"/>
        </w:rPr>
        <w:t>Généralités</w:t>
      </w:r>
      <w:bookmarkEnd w:id="69"/>
    </w:p>
    <w:p w:rsidR="0053178E" w:rsidRPr="0061020E" w:rsidRDefault="007D2F7A" w:rsidP="008F6018">
      <w:pPr>
        <w:spacing w:after="120" w:line="240" w:lineRule="auto"/>
        <w:jc w:val="both"/>
        <w:rPr>
          <w:rFonts w:ascii="Rockwell" w:hAnsi="Rockwell"/>
          <w:sz w:val="24"/>
          <w:szCs w:val="24"/>
        </w:rPr>
      </w:pPr>
      <w:r w:rsidRPr="0061020E">
        <w:rPr>
          <w:rFonts w:ascii="Rockwell" w:hAnsi="Rockwell"/>
          <w:sz w:val="24"/>
          <w:szCs w:val="24"/>
        </w:rPr>
        <w:t>L’acheteur désirant être assuré du savoir-faire et de la vigilance de son fournisseur et de la régularité de ses fournitures ne peut que trouver avantage à se réserver par contrat</w:t>
      </w:r>
      <w:r w:rsidR="00D516D6">
        <w:rPr>
          <w:rFonts w:ascii="Rockwell" w:hAnsi="Rockwell"/>
          <w:sz w:val="24"/>
          <w:szCs w:val="24"/>
        </w:rPr>
        <w:t>,</w:t>
      </w:r>
      <w:r w:rsidRPr="0061020E">
        <w:rPr>
          <w:rFonts w:ascii="Rockwell" w:hAnsi="Rockwell"/>
          <w:sz w:val="24"/>
          <w:szCs w:val="24"/>
        </w:rPr>
        <w:t xml:space="preserve"> la possibilité de recourir à une surveillance en cours d’exécution du marché. </w:t>
      </w:r>
    </w:p>
    <w:p w:rsidR="00D17D75" w:rsidRPr="0061020E" w:rsidRDefault="007D2F7A" w:rsidP="008F6018">
      <w:pPr>
        <w:spacing w:after="120" w:line="240" w:lineRule="auto"/>
        <w:jc w:val="both"/>
        <w:rPr>
          <w:rFonts w:ascii="Rockwell" w:hAnsi="Rockwell"/>
          <w:sz w:val="24"/>
          <w:szCs w:val="24"/>
        </w:rPr>
      </w:pPr>
      <w:r w:rsidRPr="0061020E">
        <w:rPr>
          <w:rFonts w:ascii="Rockwell" w:hAnsi="Rockwell"/>
          <w:sz w:val="24"/>
          <w:szCs w:val="24"/>
        </w:rPr>
        <w:t>Lorsqu’elle est exercée par un personnel compétent, la surveillance peut apporter une garantie efficace contre certains défauts critiques ou onéreux, pouvant apparaître au cours de l’utilisation et de la vie du produit. Mais</w:t>
      </w:r>
      <w:r w:rsidR="00D516D6">
        <w:rPr>
          <w:rFonts w:ascii="Rockwell" w:hAnsi="Rockwell"/>
          <w:sz w:val="24"/>
          <w:szCs w:val="24"/>
        </w:rPr>
        <w:t>,</w:t>
      </w:r>
      <w:r w:rsidRPr="0061020E">
        <w:rPr>
          <w:rFonts w:ascii="Rockwell" w:hAnsi="Rockwell"/>
          <w:sz w:val="24"/>
          <w:szCs w:val="24"/>
        </w:rPr>
        <w:t xml:space="preserve"> comme elle a un coût et se trouve par conséquent</w:t>
      </w:r>
      <w:r w:rsidR="00D516D6">
        <w:rPr>
          <w:rFonts w:ascii="Rockwell" w:hAnsi="Rockwell"/>
          <w:sz w:val="24"/>
          <w:szCs w:val="24"/>
        </w:rPr>
        <w:t>,</w:t>
      </w:r>
      <w:r w:rsidRPr="0061020E">
        <w:rPr>
          <w:rFonts w:ascii="Rockwell" w:hAnsi="Rockwell"/>
          <w:sz w:val="24"/>
          <w:szCs w:val="24"/>
        </w:rPr>
        <w:t xml:space="preserve"> comparable à une prime d’assurance, il revient à l’acheteur de l’exercer à bon escient et de proportionner ses modalités aux risques encourus, évalués selon la probabilité d’occurrence, leur gravité et l’importance de leurs conséquences.</w:t>
      </w:r>
    </w:p>
    <w:p w:rsidR="00D17D75" w:rsidRPr="0061020E" w:rsidRDefault="00D17D75" w:rsidP="008F6018">
      <w:pPr>
        <w:spacing w:after="120" w:line="240" w:lineRule="auto"/>
        <w:jc w:val="both"/>
        <w:rPr>
          <w:rFonts w:ascii="Rockwell" w:hAnsi="Rockwell"/>
          <w:sz w:val="24"/>
          <w:szCs w:val="24"/>
        </w:rPr>
      </w:pPr>
      <w:r w:rsidRPr="0061020E">
        <w:rPr>
          <w:rFonts w:ascii="Rockwell" w:hAnsi="Rockwell"/>
          <w:sz w:val="24"/>
          <w:szCs w:val="24"/>
        </w:rPr>
        <w:t>Si la surveillance est retenue, elle doit normalement</w:t>
      </w:r>
      <w:r w:rsidR="00B03372">
        <w:rPr>
          <w:rFonts w:ascii="Rockwell" w:hAnsi="Rockwell"/>
          <w:sz w:val="24"/>
          <w:szCs w:val="24"/>
        </w:rPr>
        <w:t>,</w:t>
      </w:r>
      <w:r w:rsidRPr="0061020E">
        <w:rPr>
          <w:rFonts w:ascii="Rockwell" w:hAnsi="Rockwell"/>
          <w:sz w:val="24"/>
          <w:szCs w:val="24"/>
        </w:rPr>
        <w:t xml:space="preserve"> être allégée</w:t>
      </w:r>
      <w:r w:rsidR="00B03372">
        <w:rPr>
          <w:rFonts w:ascii="Rockwell" w:hAnsi="Rockwell"/>
          <w:sz w:val="24"/>
          <w:szCs w:val="24"/>
        </w:rPr>
        <w:t>,</w:t>
      </w:r>
      <w:r w:rsidRPr="0061020E">
        <w:rPr>
          <w:rFonts w:ascii="Rockwell" w:hAnsi="Rockwell"/>
          <w:sz w:val="24"/>
          <w:szCs w:val="24"/>
        </w:rPr>
        <w:t xml:space="preserve"> lorsque le fournisseur a mis en place un système d’assurance de la qualité ou quand le produit est certifié.</w:t>
      </w:r>
    </w:p>
    <w:p w:rsidR="00F224E5" w:rsidRPr="0061020E" w:rsidRDefault="00F224E5" w:rsidP="008F6018">
      <w:pPr>
        <w:spacing w:after="120" w:line="240" w:lineRule="auto"/>
        <w:jc w:val="both"/>
        <w:rPr>
          <w:rFonts w:ascii="Rockwell" w:hAnsi="Rockwell"/>
          <w:sz w:val="24"/>
          <w:szCs w:val="24"/>
        </w:rPr>
      </w:pPr>
    </w:p>
    <w:p w:rsidR="00205C53" w:rsidRPr="008A3749" w:rsidRDefault="00205C53" w:rsidP="008F6018">
      <w:pPr>
        <w:pStyle w:val="Titre3"/>
        <w:numPr>
          <w:ilvl w:val="0"/>
          <w:numId w:val="91"/>
        </w:numPr>
        <w:spacing w:before="0" w:after="120" w:line="240" w:lineRule="auto"/>
        <w:jc w:val="both"/>
        <w:rPr>
          <w:rFonts w:ascii="Rockwell" w:hAnsi="Rockwell"/>
          <w:color w:val="auto"/>
          <w:sz w:val="24"/>
          <w:szCs w:val="24"/>
        </w:rPr>
      </w:pPr>
      <w:bookmarkStart w:id="70" w:name="_Toc505063282"/>
      <w:r w:rsidRPr="008A3749">
        <w:rPr>
          <w:rFonts w:ascii="Rockwell" w:hAnsi="Rockwell"/>
          <w:color w:val="auto"/>
          <w:sz w:val="24"/>
          <w:szCs w:val="24"/>
        </w:rPr>
        <w:t>Réalisation chez le fournisseur</w:t>
      </w:r>
      <w:bookmarkEnd w:id="70"/>
    </w:p>
    <w:p w:rsidR="00205C53" w:rsidRPr="0061020E" w:rsidRDefault="00205C53" w:rsidP="008F6018">
      <w:pPr>
        <w:spacing w:after="120" w:line="240" w:lineRule="auto"/>
        <w:jc w:val="both"/>
        <w:rPr>
          <w:rFonts w:ascii="Rockwell" w:hAnsi="Rockwell"/>
          <w:sz w:val="24"/>
          <w:szCs w:val="24"/>
        </w:rPr>
      </w:pPr>
      <w:r w:rsidRPr="0061020E">
        <w:rPr>
          <w:rFonts w:ascii="Rockwell" w:hAnsi="Rockwell"/>
          <w:sz w:val="24"/>
          <w:szCs w:val="24"/>
        </w:rPr>
        <w:t>Pour la fabrication en usine, il n’y a lieu de procéder à une surveillance sur place que pour des produits réalisés sur spécifications particulières de l’acheteur et répondant à l’une ou l’autre des particularités suivantes :</w:t>
      </w:r>
    </w:p>
    <w:p w:rsidR="00205C53"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205C53" w:rsidRPr="0061020E">
        <w:rPr>
          <w:rFonts w:ascii="Rockwell" w:hAnsi="Rockwell"/>
          <w:sz w:val="24"/>
          <w:szCs w:val="24"/>
        </w:rPr>
        <w:t>eur vérification n’est plus possible sur le produit fini, notamment à la réception ;</w:t>
      </w:r>
    </w:p>
    <w:p w:rsidR="00205C53"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l</w:t>
      </w:r>
      <w:r w:rsidR="00205C53" w:rsidRPr="0061020E">
        <w:rPr>
          <w:rFonts w:ascii="Rockwell" w:hAnsi="Rockwell"/>
          <w:sz w:val="24"/>
          <w:szCs w:val="24"/>
        </w:rPr>
        <w:t>eur délai de</w:t>
      </w:r>
      <w:r w:rsidR="008A3749">
        <w:rPr>
          <w:rFonts w:ascii="Rockwell" w:hAnsi="Rockwell"/>
          <w:sz w:val="24"/>
          <w:szCs w:val="24"/>
        </w:rPr>
        <w:t xml:space="preserve"> fabrication est long.</w:t>
      </w:r>
    </w:p>
    <w:p w:rsidR="00205C53" w:rsidRPr="0061020E" w:rsidRDefault="00205C53" w:rsidP="008F6018">
      <w:pPr>
        <w:spacing w:after="120" w:line="240" w:lineRule="auto"/>
        <w:jc w:val="both"/>
        <w:rPr>
          <w:rFonts w:ascii="Rockwell" w:hAnsi="Rockwell"/>
          <w:sz w:val="24"/>
          <w:szCs w:val="24"/>
        </w:rPr>
      </w:pPr>
      <w:r w:rsidRPr="0061020E">
        <w:rPr>
          <w:rFonts w:ascii="Rockwell" w:hAnsi="Rockwell"/>
          <w:sz w:val="24"/>
          <w:szCs w:val="24"/>
        </w:rPr>
        <w:t>Il n y’a pas lieu de surveiller en usine</w:t>
      </w:r>
      <w:r w:rsidR="00B03372">
        <w:rPr>
          <w:rFonts w:ascii="Rockwell" w:hAnsi="Rockwell"/>
          <w:sz w:val="24"/>
          <w:szCs w:val="24"/>
        </w:rPr>
        <w:t>,</w:t>
      </w:r>
      <w:r w:rsidRPr="0061020E">
        <w:rPr>
          <w:rFonts w:ascii="Rockwell" w:hAnsi="Rockwell"/>
          <w:sz w:val="24"/>
          <w:szCs w:val="24"/>
        </w:rPr>
        <w:t xml:space="preserve"> la fabrication des produits courants.</w:t>
      </w:r>
    </w:p>
    <w:p w:rsidR="00205C53" w:rsidRPr="0061020E" w:rsidRDefault="00205C53" w:rsidP="008F6018">
      <w:pPr>
        <w:spacing w:after="120" w:line="240" w:lineRule="auto"/>
        <w:jc w:val="both"/>
        <w:rPr>
          <w:rFonts w:ascii="Rockwell" w:hAnsi="Rockwell"/>
          <w:sz w:val="24"/>
          <w:szCs w:val="24"/>
        </w:rPr>
      </w:pPr>
      <w:r w:rsidRPr="0061020E">
        <w:rPr>
          <w:rFonts w:ascii="Rockwell" w:hAnsi="Rockwell"/>
          <w:sz w:val="24"/>
          <w:szCs w:val="24"/>
        </w:rPr>
        <w:t>Les services réalisés chez le prestataire ne donnent généralement</w:t>
      </w:r>
      <w:r w:rsidR="00B03372">
        <w:rPr>
          <w:rFonts w:ascii="Rockwell" w:hAnsi="Rockwell"/>
          <w:sz w:val="24"/>
          <w:szCs w:val="24"/>
        </w:rPr>
        <w:t>,</w:t>
      </w:r>
      <w:r w:rsidRPr="0061020E">
        <w:rPr>
          <w:rFonts w:ascii="Rockwell" w:hAnsi="Rockwell"/>
          <w:sz w:val="24"/>
          <w:szCs w:val="24"/>
        </w:rPr>
        <w:t xml:space="preserve"> pas lieu à </w:t>
      </w:r>
      <w:r w:rsidR="00B03372">
        <w:rPr>
          <w:rFonts w:ascii="Rockwell" w:hAnsi="Rockwell"/>
          <w:sz w:val="24"/>
          <w:szCs w:val="24"/>
        </w:rPr>
        <w:t xml:space="preserve">une </w:t>
      </w:r>
      <w:r w:rsidRPr="0061020E">
        <w:rPr>
          <w:rFonts w:ascii="Rockwell" w:hAnsi="Rockwell"/>
          <w:sz w:val="24"/>
          <w:szCs w:val="24"/>
        </w:rPr>
        <w:t>surveillance, mais peuvent conduire à des revues de projet.</w:t>
      </w:r>
    </w:p>
    <w:p w:rsidR="00F224E5" w:rsidRPr="0061020E" w:rsidRDefault="00F224E5" w:rsidP="008F6018">
      <w:pPr>
        <w:spacing w:after="120" w:line="240" w:lineRule="auto"/>
        <w:jc w:val="both"/>
        <w:rPr>
          <w:rFonts w:ascii="Rockwell" w:hAnsi="Rockwell"/>
          <w:sz w:val="24"/>
          <w:szCs w:val="24"/>
        </w:rPr>
      </w:pPr>
    </w:p>
    <w:p w:rsidR="00442EC9" w:rsidRPr="008A3749" w:rsidRDefault="00B03372" w:rsidP="008F6018">
      <w:pPr>
        <w:pStyle w:val="Titre3"/>
        <w:numPr>
          <w:ilvl w:val="0"/>
          <w:numId w:val="91"/>
        </w:numPr>
        <w:spacing w:before="0" w:after="120" w:line="240" w:lineRule="auto"/>
        <w:jc w:val="both"/>
        <w:rPr>
          <w:rFonts w:ascii="Rockwell" w:hAnsi="Rockwell"/>
          <w:color w:val="auto"/>
          <w:sz w:val="24"/>
          <w:szCs w:val="24"/>
        </w:rPr>
      </w:pPr>
      <w:bookmarkStart w:id="71" w:name="_Toc505063283"/>
      <w:r>
        <w:rPr>
          <w:rFonts w:ascii="Rockwell" w:hAnsi="Rockwell"/>
          <w:color w:val="auto"/>
          <w:sz w:val="24"/>
          <w:szCs w:val="24"/>
        </w:rPr>
        <w:t>Réalisation</w:t>
      </w:r>
      <w:r w:rsidR="00442EC9" w:rsidRPr="008A3749">
        <w:rPr>
          <w:rFonts w:ascii="Rockwell" w:hAnsi="Rockwell"/>
          <w:color w:val="auto"/>
          <w:sz w:val="24"/>
          <w:szCs w:val="24"/>
        </w:rPr>
        <w:t xml:space="preserve"> sur place chez l’utilisateur</w:t>
      </w:r>
      <w:bookmarkEnd w:id="71"/>
    </w:p>
    <w:p w:rsidR="00442EC9" w:rsidRPr="0061020E" w:rsidRDefault="00442EC9" w:rsidP="008F6018">
      <w:pPr>
        <w:spacing w:after="120" w:line="240" w:lineRule="auto"/>
        <w:jc w:val="both"/>
        <w:rPr>
          <w:rFonts w:ascii="Rockwell" w:hAnsi="Rockwell"/>
          <w:sz w:val="24"/>
          <w:szCs w:val="24"/>
        </w:rPr>
      </w:pPr>
      <w:r w:rsidRPr="0061020E">
        <w:rPr>
          <w:rFonts w:ascii="Rockwell" w:hAnsi="Rockwell"/>
          <w:sz w:val="24"/>
          <w:szCs w:val="24"/>
        </w:rPr>
        <w:t>La partie de la réalisation qui a lieu chez l’utilisateur peut consister en :</w:t>
      </w:r>
    </w:p>
    <w:p w:rsidR="00442EC9"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t</w:t>
      </w:r>
      <w:r w:rsidR="00442EC9" w:rsidRPr="0061020E">
        <w:rPr>
          <w:rFonts w:ascii="Rockwell" w:hAnsi="Rockwell"/>
          <w:sz w:val="24"/>
          <w:szCs w:val="24"/>
        </w:rPr>
        <w:t>ravaux ;</w:t>
      </w:r>
    </w:p>
    <w:p w:rsidR="00442EC9"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s</w:t>
      </w:r>
      <w:r w:rsidR="00442EC9" w:rsidRPr="0061020E">
        <w:rPr>
          <w:rFonts w:ascii="Rockwell" w:hAnsi="Rockwell"/>
          <w:sz w:val="24"/>
          <w:szCs w:val="24"/>
        </w:rPr>
        <w:t>ervices ;</w:t>
      </w:r>
    </w:p>
    <w:p w:rsidR="00442EC9"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i</w:t>
      </w:r>
      <w:r w:rsidR="00442EC9" w:rsidRPr="0061020E">
        <w:rPr>
          <w:rFonts w:ascii="Rockwell" w:hAnsi="Rockwell"/>
          <w:sz w:val="24"/>
          <w:szCs w:val="24"/>
        </w:rPr>
        <w:t>nstallation de matériel ;</w:t>
      </w:r>
    </w:p>
    <w:p w:rsidR="00442EC9" w:rsidRPr="0061020E" w:rsidRDefault="00E923E8"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m</w:t>
      </w:r>
      <w:r w:rsidR="00442EC9" w:rsidRPr="0061020E">
        <w:rPr>
          <w:rFonts w:ascii="Rockwell" w:hAnsi="Rockwell"/>
          <w:sz w:val="24"/>
          <w:szCs w:val="24"/>
        </w:rPr>
        <w:t>ise en service de matériel.</w:t>
      </w:r>
    </w:p>
    <w:p w:rsidR="00442EC9" w:rsidRPr="0061020E" w:rsidRDefault="00442EC9" w:rsidP="008F6018">
      <w:pPr>
        <w:spacing w:after="120" w:line="240" w:lineRule="auto"/>
        <w:jc w:val="both"/>
        <w:rPr>
          <w:rFonts w:ascii="Rockwell" w:hAnsi="Rockwell"/>
          <w:sz w:val="24"/>
          <w:szCs w:val="24"/>
        </w:rPr>
      </w:pPr>
      <w:r w:rsidRPr="0061020E">
        <w:rPr>
          <w:rFonts w:ascii="Rockwell" w:hAnsi="Rockwell"/>
          <w:sz w:val="24"/>
          <w:szCs w:val="24"/>
        </w:rPr>
        <w:t>Il est en général</w:t>
      </w:r>
      <w:r w:rsidR="00B03372">
        <w:rPr>
          <w:rFonts w:ascii="Rockwell" w:hAnsi="Rockwell"/>
          <w:sz w:val="24"/>
          <w:szCs w:val="24"/>
        </w:rPr>
        <w:t>,</w:t>
      </w:r>
      <w:r w:rsidRPr="0061020E">
        <w:rPr>
          <w:rFonts w:ascii="Rockwell" w:hAnsi="Rockwell"/>
          <w:sz w:val="24"/>
          <w:szCs w:val="24"/>
        </w:rPr>
        <w:t xml:space="preserve"> utile de surveiller cette partie de la réalisation</w:t>
      </w:r>
      <w:r w:rsidR="00B03372">
        <w:rPr>
          <w:rFonts w:ascii="Rockwell" w:hAnsi="Rockwell"/>
          <w:sz w:val="24"/>
          <w:szCs w:val="24"/>
        </w:rPr>
        <w:t>,</w:t>
      </w:r>
      <w:r w:rsidRPr="0061020E">
        <w:rPr>
          <w:rFonts w:ascii="Rockwell" w:hAnsi="Rockwell"/>
          <w:sz w:val="24"/>
          <w:szCs w:val="24"/>
        </w:rPr>
        <w:t xml:space="preserve"> dans la mesure où la réception ne fournit pas d’éléments suffisants ou intervient trop tardivement.</w:t>
      </w:r>
    </w:p>
    <w:p w:rsidR="00F65A67" w:rsidRPr="0057016A" w:rsidRDefault="00442EC9" w:rsidP="008F6018">
      <w:pPr>
        <w:spacing w:after="120" w:line="240" w:lineRule="auto"/>
        <w:jc w:val="both"/>
        <w:rPr>
          <w:rFonts w:ascii="Rockwell" w:hAnsi="Rockwell"/>
          <w:sz w:val="24"/>
          <w:szCs w:val="24"/>
        </w:rPr>
      </w:pPr>
      <w:r w:rsidRPr="0061020E">
        <w:rPr>
          <w:rFonts w:ascii="Rockwell" w:hAnsi="Rockwell"/>
          <w:sz w:val="24"/>
          <w:szCs w:val="24"/>
        </w:rPr>
        <w:t>Dans le cas de travaux, la surveillance fait normalement partie de la mission d’un maître d’œuvre</w:t>
      </w:r>
      <w:r w:rsidR="00B03372">
        <w:rPr>
          <w:rFonts w:ascii="Rockwell" w:hAnsi="Rockwell"/>
          <w:sz w:val="24"/>
          <w:szCs w:val="24"/>
        </w:rPr>
        <w:t>, s’il en existe</w:t>
      </w:r>
      <w:r w:rsidR="00B03372">
        <w:rPr>
          <w:rFonts w:ascii="Rockwell" w:hAnsi="Rockwell"/>
          <w:sz w:val="24"/>
          <w:szCs w:val="24"/>
          <w:highlight w:val="cyan"/>
        </w:rPr>
        <w:t xml:space="preserve">. </w:t>
      </w:r>
      <w:r w:rsidRPr="0057016A">
        <w:rPr>
          <w:rFonts w:ascii="Rockwell" w:hAnsi="Rockwell"/>
          <w:sz w:val="24"/>
          <w:szCs w:val="24"/>
          <w:highlight w:val="cyan"/>
        </w:rPr>
        <w:t>Le maître d’ouvrage n’exerce alors</w:t>
      </w:r>
      <w:r w:rsidR="002A5B9C">
        <w:rPr>
          <w:rFonts w:ascii="Rockwell" w:hAnsi="Rockwell"/>
          <w:sz w:val="24"/>
          <w:szCs w:val="24"/>
          <w:highlight w:val="cyan"/>
        </w:rPr>
        <w:t>,</w:t>
      </w:r>
      <w:r w:rsidRPr="0057016A">
        <w:rPr>
          <w:rFonts w:ascii="Rockwell" w:hAnsi="Rockwell"/>
          <w:sz w:val="24"/>
          <w:szCs w:val="24"/>
          <w:highlight w:val="cyan"/>
        </w:rPr>
        <w:t xml:space="preserve"> pas lui-même la surveillance</w:t>
      </w:r>
      <w:r w:rsidR="009C1094">
        <w:rPr>
          <w:rFonts w:ascii="Rockwell" w:hAnsi="Rockwell"/>
          <w:sz w:val="24"/>
          <w:szCs w:val="24"/>
          <w:highlight w:val="cyan"/>
        </w:rPr>
        <w:t>,</w:t>
      </w:r>
      <w:r w:rsidRPr="0057016A">
        <w:rPr>
          <w:rFonts w:ascii="Rockwell" w:hAnsi="Rockwell"/>
          <w:sz w:val="24"/>
          <w:szCs w:val="24"/>
          <w:highlight w:val="cyan"/>
        </w:rPr>
        <w:t xml:space="preserve"> mais a néanmoins intérêt à se rendre de temps en temps sur le chantier et à demander à être destinataire des comptes rendus des réunions de chantier et des ordres de service impliquant une augmentation de prix ou un rallongement des délais.</w:t>
      </w:r>
    </w:p>
    <w:p w:rsidR="00F224E5" w:rsidRPr="0061020E" w:rsidRDefault="00F224E5" w:rsidP="008F6018">
      <w:pPr>
        <w:spacing w:after="120" w:line="240" w:lineRule="auto"/>
        <w:jc w:val="both"/>
        <w:rPr>
          <w:rFonts w:ascii="Rockwell" w:hAnsi="Rockwell"/>
          <w:sz w:val="24"/>
          <w:szCs w:val="24"/>
        </w:rPr>
      </w:pPr>
    </w:p>
    <w:p w:rsidR="00F65A67" w:rsidRPr="008A3749" w:rsidRDefault="00F65A67" w:rsidP="008F6018">
      <w:pPr>
        <w:pStyle w:val="Titre3"/>
        <w:numPr>
          <w:ilvl w:val="0"/>
          <w:numId w:val="91"/>
        </w:numPr>
        <w:spacing w:before="0" w:after="120" w:line="240" w:lineRule="auto"/>
        <w:jc w:val="both"/>
        <w:rPr>
          <w:rFonts w:ascii="Rockwell" w:hAnsi="Rockwell"/>
          <w:color w:val="auto"/>
          <w:sz w:val="24"/>
          <w:szCs w:val="24"/>
        </w:rPr>
      </w:pPr>
      <w:bookmarkStart w:id="72" w:name="_Toc505063284"/>
      <w:r w:rsidRPr="008A3749">
        <w:rPr>
          <w:rFonts w:ascii="Rockwell" w:hAnsi="Rockwell"/>
          <w:color w:val="auto"/>
          <w:sz w:val="24"/>
          <w:szCs w:val="24"/>
        </w:rPr>
        <w:t>Modalités de la surveillance</w:t>
      </w:r>
      <w:bookmarkEnd w:id="72"/>
    </w:p>
    <w:p w:rsidR="000F124C" w:rsidRPr="0061020E" w:rsidRDefault="00F65A67" w:rsidP="008F6018">
      <w:pPr>
        <w:spacing w:after="120" w:line="240" w:lineRule="auto"/>
        <w:jc w:val="both"/>
        <w:rPr>
          <w:rFonts w:ascii="Rockwell" w:hAnsi="Rockwell"/>
          <w:sz w:val="24"/>
          <w:szCs w:val="24"/>
        </w:rPr>
      </w:pPr>
      <w:r w:rsidRPr="0061020E">
        <w:rPr>
          <w:rFonts w:ascii="Rockwell" w:hAnsi="Rockwell"/>
          <w:sz w:val="24"/>
          <w:szCs w:val="24"/>
        </w:rPr>
        <w:t>Si le marché prévoit des exigences d’assurance qualité, un audit permettra de s’assurer que le fournisseur respecte bien les exigences de la norme ISO</w:t>
      </w:r>
      <w:r w:rsidR="00D75A08" w:rsidRPr="0061020E">
        <w:rPr>
          <w:rFonts w:ascii="Rockwell" w:hAnsi="Rockwell"/>
          <w:sz w:val="24"/>
          <w:szCs w:val="24"/>
        </w:rPr>
        <w:t xml:space="preserve"> 9001, 2 ou 3</w:t>
      </w:r>
      <w:r w:rsidR="00B03372">
        <w:rPr>
          <w:rFonts w:ascii="Rockwell" w:hAnsi="Rockwell"/>
          <w:sz w:val="24"/>
          <w:szCs w:val="24"/>
        </w:rPr>
        <w:t>,</w:t>
      </w:r>
      <w:r w:rsidR="00D75A08" w:rsidRPr="0061020E">
        <w:rPr>
          <w:rFonts w:ascii="Rockwell" w:hAnsi="Rockwell"/>
          <w:sz w:val="24"/>
          <w:szCs w:val="24"/>
        </w:rPr>
        <w:t xml:space="preserve"> dans l’exécution du marché. Si le fournisseur est titulaire d’un certificat de système qualité et si l’acheteur constate des non-conformités aux exigences de la norme, il lui appartient de le signaler</w:t>
      </w:r>
      <w:r w:rsidR="00B03372">
        <w:rPr>
          <w:rFonts w:ascii="Rockwell" w:hAnsi="Rockwell"/>
          <w:sz w:val="24"/>
          <w:szCs w:val="24"/>
        </w:rPr>
        <w:t>,</w:t>
      </w:r>
      <w:r w:rsidR="00D75A08" w:rsidRPr="0061020E">
        <w:rPr>
          <w:rFonts w:ascii="Rockwell" w:hAnsi="Rockwell"/>
          <w:sz w:val="24"/>
          <w:szCs w:val="24"/>
        </w:rPr>
        <w:t xml:space="preserve"> par écrit</w:t>
      </w:r>
      <w:r w:rsidR="00B03372">
        <w:rPr>
          <w:rFonts w:ascii="Rockwell" w:hAnsi="Rockwell"/>
          <w:sz w:val="24"/>
          <w:szCs w:val="24"/>
        </w:rPr>
        <w:t>,</w:t>
      </w:r>
      <w:r w:rsidR="00D75A08" w:rsidRPr="0061020E">
        <w:rPr>
          <w:rFonts w:ascii="Rockwell" w:hAnsi="Rockwell"/>
          <w:sz w:val="24"/>
          <w:szCs w:val="24"/>
        </w:rPr>
        <w:t xml:space="preserve"> au certificateur.</w:t>
      </w:r>
    </w:p>
    <w:p w:rsidR="000F124C" w:rsidRPr="0061020E" w:rsidRDefault="000F124C" w:rsidP="008F6018">
      <w:pPr>
        <w:spacing w:after="120" w:line="240" w:lineRule="auto"/>
        <w:jc w:val="both"/>
        <w:rPr>
          <w:rFonts w:ascii="Rockwell" w:hAnsi="Rockwell"/>
          <w:sz w:val="24"/>
          <w:szCs w:val="24"/>
        </w:rPr>
      </w:pPr>
      <w:r w:rsidRPr="0061020E">
        <w:rPr>
          <w:rFonts w:ascii="Rockwell" w:hAnsi="Rockwell"/>
          <w:sz w:val="24"/>
          <w:szCs w:val="24"/>
        </w:rPr>
        <w:t>Si la réalisation fait appel à des procédés spéciaux, il peut être utile d’assister à la qualification de ces procédés et à la qualification des opérateurs les mettant en œuvre.</w:t>
      </w:r>
    </w:p>
    <w:p w:rsidR="00442EC9" w:rsidRPr="0061020E" w:rsidRDefault="000F124C" w:rsidP="008F6018">
      <w:pPr>
        <w:spacing w:after="120" w:line="240" w:lineRule="auto"/>
        <w:jc w:val="both"/>
        <w:rPr>
          <w:rFonts w:ascii="Rockwell" w:hAnsi="Rockwell"/>
          <w:sz w:val="24"/>
          <w:szCs w:val="24"/>
        </w:rPr>
      </w:pPr>
      <w:r w:rsidRPr="0061020E">
        <w:rPr>
          <w:rFonts w:ascii="Rockwell" w:hAnsi="Rockwell"/>
          <w:sz w:val="24"/>
          <w:szCs w:val="24"/>
        </w:rPr>
        <w:t xml:space="preserve">Si l’acheteur veut être représenté à certaines étapes de </w:t>
      </w:r>
      <w:r w:rsidR="00B03372">
        <w:rPr>
          <w:rFonts w:ascii="Rockwell" w:hAnsi="Rockwell"/>
          <w:sz w:val="24"/>
          <w:szCs w:val="24"/>
        </w:rPr>
        <w:t xml:space="preserve">la </w:t>
      </w:r>
      <w:r w:rsidRPr="0061020E">
        <w:rPr>
          <w:rFonts w:ascii="Rockwell" w:hAnsi="Rockwell"/>
          <w:sz w:val="24"/>
          <w:szCs w:val="24"/>
        </w:rPr>
        <w:t>réalisation, il place des points d’arrêt sur le plan qualité du fabricant ou de l’entrepreneur. L’étape en cause ne peut alors</w:t>
      </w:r>
      <w:r w:rsidR="00B03372">
        <w:rPr>
          <w:rFonts w:ascii="Rockwell" w:hAnsi="Rockwell"/>
          <w:sz w:val="24"/>
          <w:szCs w:val="24"/>
        </w:rPr>
        <w:t>,</w:t>
      </w:r>
      <w:r w:rsidRPr="0061020E">
        <w:rPr>
          <w:rFonts w:ascii="Rockwell" w:hAnsi="Rockwell"/>
          <w:sz w:val="24"/>
          <w:szCs w:val="24"/>
        </w:rPr>
        <w:t xml:space="preserve"> être franchie</w:t>
      </w:r>
      <w:r w:rsidR="00442EC9" w:rsidRPr="0061020E">
        <w:rPr>
          <w:rFonts w:ascii="Rockwell" w:hAnsi="Rockwell"/>
          <w:sz w:val="24"/>
          <w:szCs w:val="24"/>
        </w:rPr>
        <w:t xml:space="preserve"> </w:t>
      </w:r>
      <w:r w:rsidRPr="0061020E">
        <w:rPr>
          <w:rFonts w:ascii="Rockwell" w:hAnsi="Rockwell"/>
          <w:sz w:val="24"/>
          <w:szCs w:val="24"/>
        </w:rPr>
        <w:t>qu’en présence du représentant de l’acheteur.</w:t>
      </w:r>
    </w:p>
    <w:p w:rsidR="000F124C" w:rsidRPr="0061020E" w:rsidRDefault="000F124C" w:rsidP="008F6018">
      <w:pPr>
        <w:spacing w:after="120" w:line="240" w:lineRule="auto"/>
        <w:jc w:val="both"/>
        <w:rPr>
          <w:rFonts w:ascii="Rockwell" w:hAnsi="Rockwell"/>
          <w:sz w:val="24"/>
          <w:szCs w:val="24"/>
        </w:rPr>
      </w:pPr>
      <w:r w:rsidRPr="0061020E">
        <w:rPr>
          <w:rFonts w:ascii="Rockwell" w:hAnsi="Rockwell"/>
          <w:sz w:val="24"/>
          <w:szCs w:val="24"/>
        </w:rPr>
        <w:t>S’il s’agit d’un service répétitif ou permanent, tel que par exemple</w:t>
      </w:r>
      <w:r w:rsidR="00B03372">
        <w:rPr>
          <w:rFonts w:ascii="Rockwell" w:hAnsi="Rockwell"/>
          <w:sz w:val="24"/>
          <w:szCs w:val="24"/>
        </w:rPr>
        <w:t>,</w:t>
      </w:r>
      <w:r w:rsidRPr="0061020E">
        <w:rPr>
          <w:rFonts w:ascii="Rockwell" w:hAnsi="Rockwell"/>
          <w:sz w:val="24"/>
          <w:szCs w:val="24"/>
        </w:rPr>
        <w:t xml:space="preserve"> le netto</w:t>
      </w:r>
      <w:r w:rsidR="00C3046C">
        <w:rPr>
          <w:rFonts w:ascii="Rockwell" w:hAnsi="Rockwell"/>
          <w:sz w:val="24"/>
          <w:szCs w:val="24"/>
        </w:rPr>
        <w:t>yage des locaux, le gardiennage</w:t>
      </w:r>
      <w:r w:rsidRPr="0061020E">
        <w:rPr>
          <w:rFonts w:ascii="Rockwell" w:hAnsi="Rockwell"/>
          <w:sz w:val="24"/>
          <w:szCs w:val="24"/>
        </w:rPr>
        <w:t>, une surveillance doit être organisée et il est recommandé d’effectuer des visites impromptues pour s’assurer des conditions dans lesquelles ce service est réalisé.</w:t>
      </w:r>
    </w:p>
    <w:p w:rsidR="000F124C" w:rsidRPr="0061020E" w:rsidRDefault="000F124C" w:rsidP="008F6018">
      <w:pPr>
        <w:spacing w:after="120" w:line="240" w:lineRule="auto"/>
        <w:jc w:val="both"/>
        <w:rPr>
          <w:rFonts w:ascii="Rockwell" w:hAnsi="Rockwell"/>
          <w:sz w:val="24"/>
          <w:szCs w:val="24"/>
        </w:rPr>
      </w:pPr>
      <w:r w:rsidRPr="0061020E">
        <w:rPr>
          <w:rFonts w:ascii="Rockwell" w:hAnsi="Rockwell"/>
          <w:sz w:val="24"/>
          <w:szCs w:val="24"/>
        </w:rPr>
        <w:t>L’acheteur peut aussi demander que les non-conformités aux spécifications lui soient signalées</w:t>
      </w:r>
      <w:r w:rsidR="00B03372">
        <w:rPr>
          <w:rFonts w:ascii="Rockwell" w:hAnsi="Rockwell"/>
          <w:sz w:val="24"/>
          <w:szCs w:val="24"/>
        </w:rPr>
        <w:t>,</w:t>
      </w:r>
      <w:r w:rsidRPr="0061020E">
        <w:rPr>
          <w:rFonts w:ascii="Rockwell" w:hAnsi="Rockwell"/>
          <w:sz w:val="24"/>
          <w:szCs w:val="24"/>
        </w:rPr>
        <w:t xml:space="preserve"> afin qu’il puisse donner son accord sur les solutions proposées pour y remédier.</w:t>
      </w:r>
    </w:p>
    <w:p w:rsidR="000F124C" w:rsidRPr="0061020E" w:rsidRDefault="000F124C" w:rsidP="008F6018">
      <w:pPr>
        <w:spacing w:after="120" w:line="240" w:lineRule="auto"/>
        <w:jc w:val="both"/>
        <w:rPr>
          <w:rFonts w:ascii="Rockwell" w:hAnsi="Rockwell"/>
          <w:sz w:val="24"/>
          <w:szCs w:val="24"/>
        </w:rPr>
      </w:pPr>
      <w:r w:rsidRPr="0061020E">
        <w:rPr>
          <w:rFonts w:ascii="Rockwell" w:hAnsi="Rockwell"/>
          <w:sz w:val="24"/>
          <w:szCs w:val="24"/>
        </w:rPr>
        <w:t>En tout état de cause, la surveillance de fabrications, de travaux ou de services</w:t>
      </w:r>
      <w:r w:rsidR="00B03372">
        <w:rPr>
          <w:rFonts w:ascii="Rockwell" w:hAnsi="Rockwell"/>
          <w:sz w:val="24"/>
          <w:szCs w:val="24"/>
        </w:rPr>
        <w:t>,</w:t>
      </w:r>
      <w:r w:rsidRPr="0061020E">
        <w:rPr>
          <w:rFonts w:ascii="Rockwell" w:hAnsi="Rockwell"/>
          <w:sz w:val="24"/>
          <w:szCs w:val="24"/>
        </w:rPr>
        <w:t xml:space="preserve"> qu’elle qu’en soient les modalités, nécessite une compétence appropriée chez ceux qui l’exercent, sinon cette surveillance n’atteint pas ses objectifs et ne procure qu’une confiance trompeuse. La</w:t>
      </w:r>
      <w:r w:rsidR="00107192" w:rsidRPr="0061020E">
        <w:rPr>
          <w:rFonts w:ascii="Rockwell" w:hAnsi="Rockwell"/>
          <w:sz w:val="24"/>
          <w:szCs w:val="24"/>
        </w:rPr>
        <w:t xml:space="preserve"> surveillance peut être exercée</w:t>
      </w:r>
      <w:r w:rsidRPr="0061020E">
        <w:rPr>
          <w:rFonts w:ascii="Rockwell" w:hAnsi="Rockwell"/>
          <w:sz w:val="24"/>
          <w:szCs w:val="24"/>
        </w:rPr>
        <w:t xml:space="preserve"> par l’acheteur</w:t>
      </w:r>
      <w:r w:rsidR="000740B1" w:rsidRPr="0061020E">
        <w:rPr>
          <w:rFonts w:ascii="Rockwell" w:hAnsi="Rockwell"/>
          <w:sz w:val="24"/>
          <w:szCs w:val="24"/>
        </w:rPr>
        <w:t xml:space="preserve"> ou l’utilisateur, s’ils en ont les moyens. L’acheteur peut aussi</w:t>
      </w:r>
      <w:r w:rsidR="00B03372">
        <w:rPr>
          <w:rFonts w:ascii="Rockwell" w:hAnsi="Rockwell"/>
          <w:sz w:val="24"/>
          <w:szCs w:val="24"/>
        </w:rPr>
        <w:t>,</w:t>
      </w:r>
      <w:r w:rsidR="000740B1" w:rsidRPr="0061020E">
        <w:rPr>
          <w:rFonts w:ascii="Rockwell" w:hAnsi="Rockwell"/>
          <w:sz w:val="24"/>
          <w:szCs w:val="24"/>
        </w:rPr>
        <w:t xml:space="preserve"> avoir recours à des entreprises d’inspection ou de contrôle technique. Il lui est aussi</w:t>
      </w:r>
      <w:r w:rsidR="00B03372">
        <w:rPr>
          <w:rFonts w:ascii="Rockwell" w:hAnsi="Rockwell"/>
          <w:sz w:val="24"/>
          <w:szCs w:val="24"/>
        </w:rPr>
        <w:t>,</w:t>
      </w:r>
      <w:r w:rsidR="000740B1" w:rsidRPr="0061020E">
        <w:rPr>
          <w:rFonts w:ascii="Rockwell" w:hAnsi="Rockwell"/>
          <w:sz w:val="24"/>
          <w:szCs w:val="24"/>
        </w:rPr>
        <w:t xml:space="preserve"> possible</w:t>
      </w:r>
      <w:r w:rsidR="00B03372">
        <w:rPr>
          <w:rFonts w:ascii="Rockwell" w:hAnsi="Rockwell"/>
          <w:sz w:val="24"/>
          <w:szCs w:val="24"/>
        </w:rPr>
        <w:t>,</w:t>
      </w:r>
      <w:r w:rsidR="000740B1" w:rsidRPr="0061020E">
        <w:rPr>
          <w:rFonts w:ascii="Rockwell" w:hAnsi="Rockwell"/>
          <w:sz w:val="24"/>
          <w:szCs w:val="24"/>
        </w:rPr>
        <w:t xml:space="preserve"> dans certains cas</w:t>
      </w:r>
      <w:r w:rsidR="00B03372">
        <w:rPr>
          <w:rFonts w:ascii="Rockwell" w:hAnsi="Rockwell"/>
          <w:sz w:val="24"/>
          <w:szCs w:val="24"/>
        </w:rPr>
        <w:t>,</w:t>
      </w:r>
      <w:r w:rsidR="000740B1" w:rsidRPr="0061020E">
        <w:rPr>
          <w:rFonts w:ascii="Rockwell" w:hAnsi="Rockwell"/>
          <w:sz w:val="24"/>
          <w:szCs w:val="24"/>
        </w:rPr>
        <w:t xml:space="preserve"> de s’associer </w:t>
      </w:r>
      <w:r w:rsidR="00B03372">
        <w:rPr>
          <w:rFonts w:ascii="Rockwell" w:hAnsi="Rockwell"/>
          <w:sz w:val="24"/>
          <w:szCs w:val="24"/>
        </w:rPr>
        <w:t>à</w:t>
      </w:r>
      <w:r w:rsidR="000740B1" w:rsidRPr="0061020E">
        <w:rPr>
          <w:rFonts w:ascii="Rockwell" w:hAnsi="Rockwell"/>
          <w:sz w:val="24"/>
          <w:szCs w:val="24"/>
        </w:rPr>
        <w:t xml:space="preserve"> d’autres acheteurs pour effectuer une surveillance chez le fournisseur.</w:t>
      </w:r>
    </w:p>
    <w:p w:rsidR="00F224E5" w:rsidRDefault="00F224E5" w:rsidP="008F6018">
      <w:pPr>
        <w:spacing w:after="120" w:line="240" w:lineRule="auto"/>
        <w:jc w:val="both"/>
        <w:rPr>
          <w:rFonts w:ascii="Rockwell" w:hAnsi="Rockwell"/>
          <w:b/>
          <w:sz w:val="24"/>
          <w:szCs w:val="24"/>
        </w:rPr>
      </w:pPr>
    </w:p>
    <w:p w:rsidR="000A1205" w:rsidRPr="008A3749" w:rsidRDefault="00616EB2" w:rsidP="008F6018">
      <w:pPr>
        <w:pStyle w:val="Titre2"/>
        <w:numPr>
          <w:ilvl w:val="0"/>
          <w:numId w:val="88"/>
        </w:numPr>
        <w:spacing w:before="0" w:after="120" w:line="240" w:lineRule="auto"/>
        <w:jc w:val="both"/>
        <w:rPr>
          <w:rFonts w:ascii="Rockwell" w:hAnsi="Rockwell"/>
          <w:color w:val="auto"/>
          <w:sz w:val="24"/>
          <w:szCs w:val="24"/>
        </w:rPr>
      </w:pPr>
      <w:bookmarkStart w:id="73" w:name="_Toc503784925"/>
      <w:bookmarkStart w:id="74" w:name="_Toc505063285"/>
      <w:r w:rsidRPr="008A3749">
        <w:rPr>
          <w:rFonts w:ascii="Rockwell" w:hAnsi="Rockwell"/>
          <w:color w:val="auto"/>
          <w:sz w:val="24"/>
          <w:szCs w:val="24"/>
        </w:rPr>
        <w:t>Vérification de l</w:t>
      </w:r>
      <w:r w:rsidR="000A1205" w:rsidRPr="008A3749">
        <w:rPr>
          <w:rFonts w:ascii="Rockwell" w:hAnsi="Rockwell"/>
          <w:color w:val="auto"/>
          <w:sz w:val="24"/>
          <w:szCs w:val="24"/>
        </w:rPr>
        <w:t>a conformité du produit à la réception</w:t>
      </w:r>
      <w:bookmarkEnd w:id="73"/>
      <w:bookmarkEnd w:id="74"/>
    </w:p>
    <w:p w:rsidR="00732D69" w:rsidRDefault="000A1205" w:rsidP="008F6018">
      <w:pPr>
        <w:spacing w:after="120" w:line="240" w:lineRule="auto"/>
        <w:jc w:val="both"/>
        <w:rPr>
          <w:rFonts w:ascii="Rockwell" w:hAnsi="Rockwell"/>
          <w:sz w:val="24"/>
          <w:szCs w:val="24"/>
        </w:rPr>
      </w:pPr>
      <w:r w:rsidRPr="0061020E">
        <w:rPr>
          <w:rFonts w:ascii="Rockwell" w:hAnsi="Rockwell"/>
          <w:sz w:val="24"/>
          <w:szCs w:val="24"/>
        </w:rPr>
        <w:t>Il y</w:t>
      </w:r>
      <w:r w:rsidR="003821C5" w:rsidRPr="0061020E">
        <w:rPr>
          <w:rFonts w:ascii="Rockwell" w:hAnsi="Rockwell"/>
          <w:sz w:val="24"/>
          <w:szCs w:val="24"/>
        </w:rPr>
        <w:t xml:space="preserve"> </w:t>
      </w:r>
      <w:r w:rsidRPr="0061020E">
        <w:rPr>
          <w:rFonts w:ascii="Rockwell" w:hAnsi="Rockwell"/>
          <w:sz w:val="24"/>
          <w:szCs w:val="24"/>
        </w:rPr>
        <w:t>a lieu de distinguer la vérification de la conformité a</w:t>
      </w:r>
      <w:r w:rsidR="003E7F84">
        <w:rPr>
          <w:rFonts w:ascii="Rockwell" w:hAnsi="Rockwell"/>
          <w:sz w:val="24"/>
          <w:szCs w:val="24"/>
        </w:rPr>
        <w:t>vec les</w:t>
      </w:r>
      <w:r w:rsidRPr="0061020E">
        <w:rPr>
          <w:rFonts w:ascii="Rockwell" w:hAnsi="Rockwell"/>
          <w:sz w:val="24"/>
          <w:szCs w:val="24"/>
        </w:rPr>
        <w:t xml:space="preserve"> exigences r</w:t>
      </w:r>
      <w:r w:rsidR="003E7F84">
        <w:rPr>
          <w:rFonts w:ascii="Rockwell" w:hAnsi="Rockwell"/>
          <w:sz w:val="24"/>
          <w:szCs w:val="24"/>
        </w:rPr>
        <w:t>é</w:t>
      </w:r>
      <w:r w:rsidRPr="0061020E">
        <w:rPr>
          <w:rFonts w:ascii="Rockwell" w:hAnsi="Rockwell"/>
          <w:sz w:val="24"/>
          <w:szCs w:val="24"/>
        </w:rPr>
        <w:t>glementaire</w:t>
      </w:r>
      <w:r w:rsidR="003821C5" w:rsidRPr="0061020E">
        <w:rPr>
          <w:rFonts w:ascii="Rockwell" w:hAnsi="Rockwell"/>
          <w:sz w:val="24"/>
          <w:szCs w:val="24"/>
        </w:rPr>
        <w:t>s</w:t>
      </w:r>
      <w:r w:rsidRPr="0061020E">
        <w:rPr>
          <w:rFonts w:ascii="Rockwell" w:hAnsi="Rockwell"/>
          <w:sz w:val="24"/>
          <w:szCs w:val="24"/>
        </w:rPr>
        <w:t xml:space="preserve"> et celle de la conformité a</w:t>
      </w:r>
      <w:r w:rsidR="003E7F84">
        <w:rPr>
          <w:rFonts w:ascii="Rockwell" w:hAnsi="Rockwell"/>
          <w:sz w:val="24"/>
          <w:szCs w:val="24"/>
        </w:rPr>
        <w:t xml:space="preserve">vec les </w:t>
      </w:r>
      <w:r w:rsidRPr="0061020E">
        <w:rPr>
          <w:rFonts w:ascii="Rockwell" w:hAnsi="Rockwell"/>
          <w:sz w:val="24"/>
          <w:szCs w:val="24"/>
        </w:rPr>
        <w:t>spécifications.</w:t>
      </w:r>
    </w:p>
    <w:p w:rsidR="00F3614D" w:rsidRPr="0061020E" w:rsidRDefault="00F3614D" w:rsidP="008F6018">
      <w:pPr>
        <w:spacing w:after="120" w:line="240" w:lineRule="auto"/>
        <w:jc w:val="both"/>
        <w:rPr>
          <w:rFonts w:ascii="Rockwell" w:hAnsi="Rockwell"/>
          <w:i/>
          <w:sz w:val="24"/>
          <w:szCs w:val="24"/>
        </w:rPr>
      </w:pPr>
    </w:p>
    <w:p w:rsidR="000A1205" w:rsidRPr="008A3749" w:rsidRDefault="000A1205" w:rsidP="008F6018">
      <w:pPr>
        <w:pStyle w:val="Titre3"/>
        <w:numPr>
          <w:ilvl w:val="0"/>
          <w:numId w:val="92"/>
        </w:numPr>
        <w:spacing w:before="0" w:after="120" w:line="240" w:lineRule="auto"/>
        <w:jc w:val="both"/>
        <w:rPr>
          <w:rFonts w:ascii="Rockwell" w:hAnsi="Rockwell"/>
          <w:color w:val="auto"/>
          <w:sz w:val="24"/>
          <w:szCs w:val="24"/>
        </w:rPr>
      </w:pPr>
      <w:bookmarkStart w:id="75" w:name="_Toc505063286"/>
      <w:r w:rsidRPr="008A3749">
        <w:rPr>
          <w:rFonts w:ascii="Rockwell" w:hAnsi="Rockwell"/>
          <w:color w:val="auto"/>
          <w:sz w:val="24"/>
          <w:szCs w:val="24"/>
        </w:rPr>
        <w:t>Conformité a</w:t>
      </w:r>
      <w:r w:rsidR="003E7F84">
        <w:rPr>
          <w:rFonts w:ascii="Rockwell" w:hAnsi="Rockwell"/>
          <w:color w:val="auto"/>
          <w:sz w:val="24"/>
          <w:szCs w:val="24"/>
        </w:rPr>
        <w:t xml:space="preserve">vec les </w:t>
      </w:r>
      <w:r w:rsidRPr="008A3749">
        <w:rPr>
          <w:rFonts w:ascii="Rockwell" w:hAnsi="Rockwell"/>
          <w:color w:val="auto"/>
          <w:sz w:val="24"/>
          <w:szCs w:val="24"/>
        </w:rPr>
        <w:t>exigences r</w:t>
      </w:r>
      <w:r w:rsidR="003E7F84">
        <w:rPr>
          <w:rFonts w:ascii="Rockwell" w:hAnsi="Rockwell"/>
          <w:color w:val="auto"/>
          <w:sz w:val="24"/>
          <w:szCs w:val="24"/>
        </w:rPr>
        <w:t>é</w:t>
      </w:r>
      <w:r w:rsidRPr="008A3749">
        <w:rPr>
          <w:rFonts w:ascii="Rockwell" w:hAnsi="Rockwell"/>
          <w:color w:val="auto"/>
          <w:sz w:val="24"/>
          <w:szCs w:val="24"/>
        </w:rPr>
        <w:t>glementaires</w:t>
      </w:r>
      <w:bookmarkEnd w:id="75"/>
    </w:p>
    <w:p w:rsidR="00F224E5" w:rsidRPr="0061020E" w:rsidRDefault="000A1205" w:rsidP="008F6018">
      <w:pPr>
        <w:spacing w:after="120" w:line="240" w:lineRule="auto"/>
        <w:jc w:val="both"/>
        <w:rPr>
          <w:rFonts w:ascii="Rockwell" w:hAnsi="Rockwell"/>
          <w:sz w:val="24"/>
          <w:szCs w:val="24"/>
        </w:rPr>
      </w:pPr>
      <w:r w:rsidRPr="0061020E">
        <w:rPr>
          <w:rFonts w:ascii="Rockwell" w:hAnsi="Rockwell"/>
          <w:sz w:val="24"/>
          <w:szCs w:val="24"/>
        </w:rPr>
        <w:t>Si le produit acheté est soumis à une r</w:t>
      </w:r>
      <w:r w:rsidR="003E7F84">
        <w:rPr>
          <w:rFonts w:ascii="Rockwell" w:hAnsi="Rockwell"/>
          <w:sz w:val="24"/>
          <w:szCs w:val="24"/>
        </w:rPr>
        <w:t>é</w:t>
      </w:r>
      <w:r w:rsidR="00017968" w:rsidRPr="0061020E">
        <w:rPr>
          <w:rFonts w:ascii="Rockwell" w:hAnsi="Rockwell"/>
          <w:sz w:val="24"/>
          <w:szCs w:val="24"/>
        </w:rPr>
        <w:t>glementation</w:t>
      </w:r>
      <w:r w:rsidRPr="0061020E">
        <w:rPr>
          <w:rFonts w:ascii="Rockwell" w:hAnsi="Rockwell"/>
          <w:sz w:val="24"/>
          <w:szCs w:val="24"/>
        </w:rPr>
        <w:t>, le respect de la r</w:t>
      </w:r>
      <w:r w:rsidR="002A5B9C">
        <w:rPr>
          <w:rFonts w:ascii="Rockwell" w:hAnsi="Rockwell"/>
          <w:sz w:val="24"/>
          <w:szCs w:val="24"/>
        </w:rPr>
        <w:t>é</w:t>
      </w:r>
      <w:r w:rsidRPr="0061020E">
        <w:rPr>
          <w:rFonts w:ascii="Rockwell" w:hAnsi="Rockwell"/>
          <w:sz w:val="24"/>
          <w:szCs w:val="24"/>
        </w:rPr>
        <w:t>glementation relative au produit doit être</w:t>
      </w:r>
      <w:r w:rsidR="00017968" w:rsidRPr="0061020E">
        <w:rPr>
          <w:rFonts w:ascii="Rockwell" w:hAnsi="Rockwell"/>
          <w:sz w:val="24"/>
          <w:szCs w:val="24"/>
        </w:rPr>
        <w:t xml:space="preserve"> considéré comme une exigence implicite et peut donner lieu à </w:t>
      </w:r>
      <w:r w:rsidR="00DE39E8">
        <w:rPr>
          <w:rFonts w:ascii="Rockwell" w:hAnsi="Rockwell"/>
          <w:sz w:val="24"/>
          <w:szCs w:val="24"/>
        </w:rPr>
        <w:t xml:space="preserve">un </w:t>
      </w:r>
      <w:r w:rsidR="00017968" w:rsidRPr="0061020E">
        <w:rPr>
          <w:rFonts w:ascii="Rockwell" w:hAnsi="Rockwell"/>
          <w:sz w:val="24"/>
          <w:szCs w:val="24"/>
        </w:rPr>
        <w:t>contrôle</w:t>
      </w:r>
      <w:r w:rsidR="00DE39E8">
        <w:rPr>
          <w:rFonts w:ascii="Rockwell" w:hAnsi="Rockwell"/>
          <w:sz w:val="24"/>
          <w:szCs w:val="24"/>
        </w:rPr>
        <w:t>,</w:t>
      </w:r>
      <w:r w:rsidR="00017968" w:rsidRPr="0061020E">
        <w:rPr>
          <w:rFonts w:ascii="Rockwell" w:hAnsi="Rockwell"/>
          <w:sz w:val="24"/>
          <w:szCs w:val="24"/>
        </w:rPr>
        <w:t xml:space="preserve"> lors de la réception. C’est ainsi</w:t>
      </w:r>
      <w:r w:rsidR="00DE39E8">
        <w:rPr>
          <w:rFonts w:ascii="Rockwell" w:hAnsi="Rockwell"/>
          <w:sz w:val="24"/>
          <w:szCs w:val="24"/>
        </w:rPr>
        <w:t>,</w:t>
      </w:r>
      <w:r w:rsidR="00017968" w:rsidRPr="0061020E">
        <w:rPr>
          <w:rFonts w:ascii="Rockwell" w:hAnsi="Rockwell"/>
          <w:sz w:val="24"/>
          <w:szCs w:val="24"/>
        </w:rPr>
        <w:t xml:space="preserve"> qu’il </w:t>
      </w:r>
      <w:r w:rsidR="00F224E5" w:rsidRPr="0061020E">
        <w:rPr>
          <w:rFonts w:ascii="Rockwell" w:hAnsi="Rockwell"/>
          <w:sz w:val="24"/>
          <w:szCs w:val="24"/>
        </w:rPr>
        <w:t xml:space="preserve">peut </w:t>
      </w:r>
      <w:r w:rsidR="00017968" w:rsidRPr="0061020E">
        <w:rPr>
          <w:rFonts w:ascii="Rockwell" w:hAnsi="Rockwell"/>
          <w:sz w:val="24"/>
          <w:szCs w:val="24"/>
        </w:rPr>
        <w:t>y a</w:t>
      </w:r>
      <w:r w:rsidR="00F224E5" w:rsidRPr="0061020E">
        <w:rPr>
          <w:rFonts w:ascii="Rockwell" w:hAnsi="Rockwell"/>
          <w:sz w:val="24"/>
          <w:szCs w:val="24"/>
        </w:rPr>
        <w:t>voir</w:t>
      </w:r>
      <w:r w:rsidR="00017968" w:rsidRPr="0061020E">
        <w:rPr>
          <w:rFonts w:ascii="Rockwell" w:hAnsi="Rockwell"/>
          <w:sz w:val="24"/>
          <w:szCs w:val="24"/>
        </w:rPr>
        <w:t xml:space="preserve"> lieu de vérifier au moins que les </w:t>
      </w:r>
      <w:r w:rsidR="00F224E5" w:rsidRPr="0061020E">
        <w:rPr>
          <w:rFonts w:ascii="Rockwell" w:hAnsi="Rockwell"/>
          <w:sz w:val="24"/>
          <w:szCs w:val="24"/>
        </w:rPr>
        <w:t>produits comportent la marque nationale de conformité.</w:t>
      </w:r>
    </w:p>
    <w:p w:rsidR="00C83D9A" w:rsidRPr="0061020E" w:rsidRDefault="00C83D9A" w:rsidP="008F6018">
      <w:pPr>
        <w:spacing w:after="120" w:line="240" w:lineRule="auto"/>
        <w:jc w:val="both"/>
        <w:rPr>
          <w:rFonts w:ascii="Rockwell" w:hAnsi="Rockwell"/>
          <w:sz w:val="24"/>
          <w:szCs w:val="24"/>
        </w:rPr>
      </w:pPr>
      <w:r w:rsidRPr="0061020E">
        <w:rPr>
          <w:rFonts w:ascii="Rockwell" w:hAnsi="Rockwell"/>
          <w:sz w:val="24"/>
          <w:szCs w:val="24"/>
        </w:rPr>
        <w:t>Dans certains cas, l’acheteur peut avoir pris la précaution de demander la production d’une attestation de conformité a</w:t>
      </w:r>
      <w:r w:rsidR="00DE39E8">
        <w:rPr>
          <w:rFonts w:ascii="Rockwell" w:hAnsi="Rockwell"/>
          <w:sz w:val="24"/>
          <w:szCs w:val="24"/>
        </w:rPr>
        <w:t>vec les</w:t>
      </w:r>
      <w:r w:rsidRPr="0061020E">
        <w:rPr>
          <w:rFonts w:ascii="Rockwell" w:hAnsi="Rockwell"/>
          <w:sz w:val="24"/>
          <w:szCs w:val="24"/>
        </w:rPr>
        <w:t xml:space="preserve"> exigences r</w:t>
      </w:r>
      <w:r w:rsidR="00DE39E8">
        <w:rPr>
          <w:rFonts w:ascii="Rockwell" w:hAnsi="Rockwell"/>
          <w:sz w:val="24"/>
          <w:szCs w:val="24"/>
        </w:rPr>
        <w:t>é</w:t>
      </w:r>
      <w:r w:rsidRPr="0061020E">
        <w:rPr>
          <w:rFonts w:ascii="Rockwell" w:hAnsi="Rockwell"/>
          <w:sz w:val="24"/>
          <w:szCs w:val="24"/>
        </w:rPr>
        <w:t>glementaires.</w:t>
      </w:r>
    </w:p>
    <w:p w:rsidR="00F224E5" w:rsidRPr="0061020E" w:rsidRDefault="00F224E5" w:rsidP="008F6018">
      <w:pPr>
        <w:spacing w:after="120" w:line="240" w:lineRule="auto"/>
        <w:jc w:val="both"/>
        <w:rPr>
          <w:rFonts w:ascii="Rockwell" w:hAnsi="Rockwell"/>
          <w:sz w:val="24"/>
          <w:szCs w:val="24"/>
        </w:rPr>
      </w:pPr>
    </w:p>
    <w:p w:rsidR="007832A9" w:rsidRPr="00642A3E" w:rsidRDefault="007832A9" w:rsidP="008F6018">
      <w:pPr>
        <w:pStyle w:val="Titre3"/>
        <w:numPr>
          <w:ilvl w:val="0"/>
          <w:numId w:val="92"/>
        </w:numPr>
        <w:spacing w:before="0" w:after="120" w:line="240" w:lineRule="auto"/>
        <w:jc w:val="both"/>
        <w:rPr>
          <w:rFonts w:ascii="Rockwell" w:hAnsi="Rockwell"/>
          <w:color w:val="auto"/>
          <w:sz w:val="24"/>
          <w:szCs w:val="24"/>
        </w:rPr>
      </w:pPr>
      <w:bookmarkStart w:id="76" w:name="_Toc505063287"/>
      <w:r w:rsidRPr="00642A3E">
        <w:rPr>
          <w:rFonts w:ascii="Rockwell" w:hAnsi="Rockwell"/>
          <w:color w:val="auto"/>
          <w:sz w:val="24"/>
          <w:szCs w:val="24"/>
        </w:rPr>
        <w:t>Conformité a</w:t>
      </w:r>
      <w:r w:rsidR="00DE39E8">
        <w:rPr>
          <w:rFonts w:ascii="Rockwell" w:hAnsi="Rockwell"/>
          <w:color w:val="auto"/>
          <w:sz w:val="24"/>
          <w:szCs w:val="24"/>
        </w:rPr>
        <w:t>vec les</w:t>
      </w:r>
      <w:r w:rsidRPr="00642A3E">
        <w:rPr>
          <w:rFonts w:ascii="Rockwell" w:hAnsi="Rockwell"/>
          <w:color w:val="auto"/>
          <w:sz w:val="24"/>
          <w:szCs w:val="24"/>
        </w:rPr>
        <w:t xml:space="preserve"> spécifications</w:t>
      </w:r>
      <w:bookmarkEnd w:id="76"/>
    </w:p>
    <w:p w:rsidR="007832A9" w:rsidRPr="0061020E" w:rsidRDefault="007832A9" w:rsidP="008F6018">
      <w:pPr>
        <w:spacing w:after="120" w:line="240" w:lineRule="auto"/>
        <w:jc w:val="both"/>
        <w:rPr>
          <w:rFonts w:ascii="Rockwell" w:hAnsi="Rockwell"/>
          <w:sz w:val="24"/>
          <w:szCs w:val="24"/>
        </w:rPr>
      </w:pPr>
      <w:r w:rsidRPr="0061020E">
        <w:rPr>
          <w:rFonts w:ascii="Rockwell" w:hAnsi="Rockwell"/>
          <w:sz w:val="24"/>
          <w:szCs w:val="24"/>
        </w:rPr>
        <w:t xml:space="preserve">Quand l’achat porte sur des lots importants en nombre, la conformité </w:t>
      </w:r>
      <w:r w:rsidR="00DE39E8" w:rsidRPr="0061020E">
        <w:rPr>
          <w:rFonts w:ascii="Rockwell" w:hAnsi="Rockwell"/>
          <w:sz w:val="24"/>
          <w:szCs w:val="24"/>
        </w:rPr>
        <w:t>a</w:t>
      </w:r>
      <w:r w:rsidR="00DE39E8">
        <w:rPr>
          <w:rFonts w:ascii="Rockwell" w:hAnsi="Rockwell"/>
          <w:sz w:val="24"/>
          <w:szCs w:val="24"/>
        </w:rPr>
        <w:t>vec les</w:t>
      </w:r>
      <w:r w:rsidR="00DE39E8" w:rsidRPr="0061020E">
        <w:rPr>
          <w:rFonts w:ascii="Rockwell" w:hAnsi="Rockwell"/>
          <w:sz w:val="24"/>
          <w:szCs w:val="24"/>
        </w:rPr>
        <w:t xml:space="preserve"> </w:t>
      </w:r>
      <w:r w:rsidRPr="0061020E">
        <w:rPr>
          <w:rFonts w:ascii="Rockwell" w:hAnsi="Rockwell"/>
          <w:sz w:val="24"/>
          <w:szCs w:val="24"/>
        </w:rPr>
        <w:t>spécifications est vérifiée par échantillonnage</w:t>
      </w:r>
      <w:r w:rsidR="000C288A" w:rsidRPr="0061020E">
        <w:rPr>
          <w:rFonts w:ascii="Rockwell" w:hAnsi="Rockwell"/>
          <w:sz w:val="24"/>
          <w:szCs w:val="24"/>
        </w:rPr>
        <w:t>, le contrôle</w:t>
      </w:r>
      <w:r w:rsidR="00843AD1" w:rsidRPr="0061020E">
        <w:rPr>
          <w:rFonts w:ascii="Rockwell" w:hAnsi="Rockwell"/>
          <w:sz w:val="24"/>
          <w:szCs w:val="24"/>
        </w:rPr>
        <w:t xml:space="preserve"> à 100 % étant très rarement justifié.</w:t>
      </w:r>
    </w:p>
    <w:p w:rsidR="00843AD1" w:rsidRPr="0061020E" w:rsidRDefault="00843AD1" w:rsidP="008F6018">
      <w:pPr>
        <w:spacing w:after="120" w:line="240" w:lineRule="auto"/>
        <w:jc w:val="both"/>
        <w:rPr>
          <w:rFonts w:ascii="Rockwell" w:hAnsi="Rockwell"/>
          <w:sz w:val="24"/>
          <w:szCs w:val="24"/>
        </w:rPr>
      </w:pPr>
      <w:r w:rsidRPr="0061020E">
        <w:rPr>
          <w:rFonts w:ascii="Rockwell" w:hAnsi="Rockwell"/>
          <w:sz w:val="24"/>
          <w:szCs w:val="24"/>
        </w:rPr>
        <w:lastRenderedPageBreak/>
        <w:t>Cette opération repose sur des méthodes statistiques parfaitement connues, qui font l’objet de normes adaptées aux diverses circonstances pouvant être rencontrées, notamment selon que les spécifications concernent des caractéristiques mesurables (telles que dimensions, masse, etc.)</w:t>
      </w:r>
      <w:r w:rsidR="00732D69" w:rsidRPr="0061020E">
        <w:rPr>
          <w:rFonts w:ascii="Rockwell" w:hAnsi="Rockwell"/>
          <w:sz w:val="24"/>
          <w:szCs w:val="24"/>
        </w:rPr>
        <w:t>.</w:t>
      </w:r>
    </w:p>
    <w:p w:rsidR="00843AD1" w:rsidRPr="0061020E" w:rsidRDefault="00843AD1" w:rsidP="008F6018">
      <w:pPr>
        <w:spacing w:after="120" w:line="240" w:lineRule="auto"/>
        <w:jc w:val="both"/>
        <w:rPr>
          <w:rFonts w:ascii="Rockwell" w:hAnsi="Rockwell"/>
          <w:sz w:val="24"/>
          <w:szCs w:val="24"/>
        </w:rPr>
      </w:pPr>
      <w:r w:rsidRPr="0061020E">
        <w:rPr>
          <w:rFonts w:ascii="Rockwell" w:hAnsi="Rockwell"/>
          <w:sz w:val="24"/>
          <w:szCs w:val="24"/>
        </w:rPr>
        <w:t>Il y a également</w:t>
      </w:r>
      <w:r w:rsidR="00E52387">
        <w:rPr>
          <w:rFonts w:ascii="Rockwell" w:hAnsi="Rockwell"/>
          <w:sz w:val="24"/>
          <w:szCs w:val="24"/>
        </w:rPr>
        <w:t>,</w:t>
      </w:r>
      <w:r w:rsidRPr="0061020E">
        <w:rPr>
          <w:rFonts w:ascii="Rockwell" w:hAnsi="Rockwell"/>
          <w:sz w:val="24"/>
          <w:szCs w:val="24"/>
        </w:rPr>
        <w:t xml:space="preserve"> lieu de distinguer si la fourniture concerne des séries successives de lots ou au contraire</w:t>
      </w:r>
      <w:r w:rsidR="00E52387">
        <w:rPr>
          <w:rFonts w:ascii="Rockwell" w:hAnsi="Rockwell"/>
          <w:sz w:val="24"/>
          <w:szCs w:val="24"/>
        </w:rPr>
        <w:t>,</w:t>
      </w:r>
      <w:r w:rsidRPr="0061020E">
        <w:rPr>
          <w:rFonts w:ascii="Rockwell" w:hAnsi="Rockwell"/>
          <w:sz w:val="24"/>
          <w:szCs w:val="24"/>
        </w:rPr>
        <w:t xml:space="preserve"> des lots uniques : des normes existent pour l’un et l’autre cas.</w:t>
      </w:r>
    </w:p>
    <w:p w:rsidR="00843AD1" w:rsidRPr="0061020E" w:rsidRDefault="00843AD1" w:rsidP="008F6018">
      <w:pPr>
        <w:spacing w:after="120" w:line="240" w:lineRule="auto"/>
        <w:jc w:val="both"/>
        <w:rPr>
          <w:rFonts w:ascii="Rockwell" w:hAnsi="Rockwell"/>
          <w:sz w:val="24"/>
          <w:szCs w:val="24"/>
        </w:rPr>
      </w:pPr>
      <w:r w:rsidRPr="0061020E">
        <w:rPr>
          <w:rFonts w:ascii="Rockwell" w:hAnsi="Rockwell"/>
          <w:sz w:val="24"/>
          <w:szCs w:val="24"/>
        </w:rPr>
        <w:t xml:space="preserve">L’acheteur peut exercer </w:t>
      </w:r>
      <w:r w:rsidR="005A3F59" w:rsidRPr="0061020E">
        <w:rPr>
          <w:rFonts w:ascii="Rockwell" w:hAnsi="Rockwell"/>
          <w:sz w:val="24"/>
          <w:szCs w:val="24"/>
        </w:rPr>
        <w:t>lui-même</w:t>
      </w:r>
      <w:r w:rsidRPr="0061020E">
        <w:rPr>
          <w:rFonts w:ascii="Rockwell" w:hAnsi="Rockwell"/>
          <w:sz w:val="24"/>
          <w:szCs w:val="24"/>
        </w:rPr>
        <w:t xml:space="preserve"> le contrôle de réception ou le confier à un organisme tiers. Il doit toujours préciser les règles de gestion des lots refusés</w:t>
      </w:r>
      <w:r w:rsidR="00E52387">
        <w:rPr>
          <w:rFonts w:ascii="Rockwell" w:hAnsi="Rockwell"/>
          <w:sz w:val="24"/>
          <w:szCs w:val="24"/>
        </w:rPr>
        <w:t>,</w:t>
      </w:r>
      <w:r w:rsidRPr="0061020E">
        <w:rPr>
          <w:rFonts w:ascii="Rockwell" w:hAnsi="Rockwell"/>
          <w:sz w:val="24"/>
          <w:szCs w:val="24"/>
        </w:rPr>
        <w:t xml:space="preserve"> selon la gravité des défauts constatés au contrôle.</w:t>
      </w:r>
    </w:p>
    <w:p w:rsidR="00843AD1" w:rsidRPr="0061020E" w:rsidRDefault="00843AD1" w:rsidP="008F6018">
      <w:pPr>
        <w:spacing w:after="120" w:line="240" w:lineRule="auto"/>
        <w:jc w:val="both"/>
        <w:rPr>
          <w:rFonts w:ascii="Rockwell" w:hAnsi="Rockwell"/>
          <w:sz w:val="24"/>
          <w:szCs w:val="24"/>
        </w:rPr>
      </w:pPr>
      <w:r w:rsidRPr="0061020E">
        <w:rPr>
          <w:rFonts w:ascii="Rockwell" w:hAnsi="Rockwell"/>
          <w:sz w:val="24"/>
          <w:szCs w:val="24"/>
        </w:rPr>
        <w:t xml:space="preserve">Il convient également, dans certains cas (construction d’un ouvrage ou d’une installation), </w:t>
      </w:r>
      <w:r w:rsidR="005A3F59" w:rsidRPr="0061020E">
        <w:rPr>
          <w:rFonts w:ascii="Rockwell" w:hAnsi="Rockwell"/>
          <w:sz w:val="24"/>
          <w:szCs w:val="24"/>
        </w:rPr>
        <w:t xml:space="preserve">de </w:t>
      </w:r>
      <w:r w:rsidRPr="0061020E">
        <w:rPr>
          <w:rFonts w:ascii="Rockwell" w:hAnsi="Rockwell"/>
          <w:sz w:val="24"/>
          <w:szCs w:val="24"/>
        </w:rPr>
        <w:t>prévoir</w:t>
      </w:r>
      <w:r w:rsidR="005A3F59" w:rsidRPr="0061020E">
        <w:rPr>
          <w:rFonts w:ascii="Rockwell" w:hAnsi="Rockwell"/>
          <w:sz w:val="24"/>
          <w:szCs w:val="24"/>
        </w:rPr>
        <w:t xml:space="preserve"> les conditions de récolement (vérification de la conformité  a</w:t>
      </w:r>
      <w:r w:rsidR="00E52387">
        <w:rPr>
          <w:rFonts w:ascii="Rockwell" w:hAnsi="Rockwell"/>
          <w:sz w:val="24"/>
          <w:szCs w:val="24"/>
        </w:rPr>
        <w:t>vec les</w:t>
      </w:r>
      <w:r w:rsidR="005A3F59" w:rsidRPr="0061020E">
        <w:rPr>
          <w:rFonts w:ascii="Rockwell" w:hAnsi="Rockwell"/>
          <w:sz w:val="24"/>
          <w:szCs w:val="24"/>
        </w:rPr>
        <w:t xml:space="preserve"> plans d’exécution</w:t>
      </w:r>
      <w:r w:rsidR="00171767" w:rsidRPr="0061020E">
        <w:rPr>
          <w:rFonts w:ascii="Rockwell" w:hAnsi="Rockwell"/>
          <w:sz w:val="24"/>
          <w:szCs w:val="24"/>
        </w:rPr>
        <w:t>), voire la fourniture de plans conformes à l’exécution, si en cours de travaux des modifications ont dû être apportées aux dispositions originelles.</w:t>
      </w:r>
    </w:p>
    <w:p w:rsidR="00171767" w:rsidRPr="0061020E" w:rsidRDefault="00171767" w:rsidP="008F6018">
      <w:pPr>
        <w:spacing w:after="120" w:line="240" w:lineRule="auto"/>
        <w:jc w:val="both"/>
        <w:rPr>
          <w:rFonts w:ascii="Rockwell" w:hAnsi="Rockwell"/>
          <w:sz w:val="24"/>
          <w:szCs w:val="24"/>
        </w:rPr>
      </w:pPr>
      <w:r w:rsidRPr="0061020E">
        <w:rPr>
          <w:rFonts w:ascii="Rockwell" w:hAnsi="Rockwell"/>
          <w:sz w:val="24"/>
          <w:szCs w:val="24"/>
        </w:rPr>
        <w:t>La maîtrise des processus de fabrication par le fournisseur, obtenue notamment grâce à un système d’assurance qualité, éventuellement certifié, permet de diminuer la charge du contrôle de réception par l’acheteur. Celui-ci conserve toutefois</w:t>
      </w:r>
      <w:r w:rsidR="00E52387">
        <w:rPr>
          <w:rFonts w:ascii="Rockwell" w:hAnsi="Rockwell"/>
          <w:sz w:val="24"/>
          <w:szCs w:val="24"/>
        </w:rPr>
        <w:t>,</w:t>
      </w:r>
      <w:r w:rsidRPr="0061020E">
        <w:rPr>
          <w:rFonts w:ascii="Rockwell" w:hAnsi="Rockwell"/>
          <w:sz w:val="24"/>
          <w:szCs w:val="24"/>
        </w:rPr>
        <w:t xml:space="preserve"> son droit de vérification qu’il lui appartient d’exercer avec discernement.</w:t>
      </w:r>
    </w:p>
    <w:p w:rsidR="00FA02CB" w:rsidRPr="0061020E" w:rsidRDefault="00FA02CB" w:rsidP="008F6018">
      <w:pPr>
        <w:spacing w:after="120" w:line="240" w:lineRule="auto"/>
        <w:jc w:val="both"/>
        <w:rPr>
          <w:rFonts w:ascii="Rockwell" w:hAnsi="Rockwell"/>
          <w:sz w:val="24"/>
          <w:szCs w:val="24"/>
        </w:rPr>
      </w:pPr>
    </w:p>
    <w:p w:rsidR="00171767" w:rsidRDefault="00171767" w:rsidP="008F6018">
      <w:pPr>
        <w:pStyle w:val="Titre2"/>
        <w:numPr>
          <w:ilvl w:val="0"/>
          <w:numId w:val="88"/>
        </w:numPr>
        <w:spacing w:before="0" w:after="120" w:line="240" w:lineRule="auto"/>
        <w:jc w:val="both"/>
        <w:rPr>
          <w:rFonts w:ascii="Rockwell" w:hAnsi="Rockwell"/>
          <w:color w:val="auto"/>
          <w:sz w:val="24"/>
          <w:szCs w:val="24"/>
        </w:rPr>
      </w:pPr>
      <w:bookmarkStart w:id="77" w:name="_Toc503784926"/>
      <w:bookmarkStart w:id="78" w:name="_Toc505063288"/>
      <w:r w:rsidRPr="0061020E">
        <w:rPr>
          <w:rFonts w:ascii="Rockwell" w:hAnsi="Rockwell"/>
          <w:color w:val="auto"/>
          <w:sz w:val="24"/>
          <w:szCs w:val="24"/>
        </w:rPr>
        <w:t>Retour d’expérience</w:t>
      </w:r>
      <w:bookmarkEnd w:id="77"/>
      <w:bookmarkEnd w:id="78"/>
    </w:p>
    <w:p w:rsidR="00171767" w:rsidRPr="00642A3E" w:rsidRDefault="00171767" w:rsidP="008F6018">
      <w:pPr>
        <w:pStyle w:val="Titre3"/>
        <w:numPr>
          <w:ilvl w:val="0"/>
          <w:numId w:val="93"/>
        </w:numPr>
        <w:spacing w:before="0" w:after="120" w:line="240" w:lineRule="auto"/>
        <w:jc w:val="both"/>
        <w:rPr>
          <w:rFonts w:ascii="Rockwell" w:hAnsi="Rockwell"/>
          <w:color w:val="auto"/>
          <w:sz w:val="24"/>
          <w:szCs w:val="24"/>
        </w:rPr>
      </w:pPr>
      <w:bookmarkStart w:id="79" w:name="_Toc505063289"/>
      <w:r w:rsidRPr="00642A3E">
        <w:rPr>
          <w:rFonts w:ascii="Rockwell" w:hAnsi="Rockwell"/>
          <w:color w:val="auto"/>
          <w:sz w:val="24"/>
          <w:szCs w:val="24"/>
        </w:rPr>
        <w:t>Nature et objet</w:t>
      </w:r>
      <w:bookmarkEnd w:id="79"/>
    </w:p>
    <w:p w:rsidR="00171767" w:rsidRPr="0061020E" w:rsidRDefault="00171767" w:rsidP="008F6018">
      <w:pPr>
        <w:spacing w:after="120" w:line="240" w:lineRule="auto"/>
        <w:jc w:val="both"/>
        <w:rPr>
          <w:rFonts w:ascii="Rockwell" w:hAnsi="Rockwell"/>
          <w:sz w:val="24"/>
          <w:szCs w:val="24"/>
        </w:rPr>
      </w:pPr>
      <w:r w:rsidRPr="0061020E">
        <w:rPr>
          <w:rFonts w:ascii="Rockwell" w:hAnsi="Rockwell"/>
          <w:sz w:val="24"/>
          <w:szCs w:val="24"/>
        </w:rPr>
        <w:t>Le retour d’expérience est une source de progrès :</w:t>
      </w:r>
    </w:p>
    <w:p w:rsidR="00171767" w:rsidRPr="0061020E" w:rsidRDefault="00E52387"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au profit de l’</w:t>
      </w:r>
      <w:r w:rsidRPr="0061020E">
        <w:rPr>
          <w:rFonts w:ascii="Rockwell" w:hAnsi="Rockwell"/>
          <w:b/>
          <w:sz w:val="24"/>
          <w:szCs w:val="24"/>
        </w:rPr>
        <w:t>utilisateur</w:t>
      </w:r>
      <w:r w:rsidRPr="0061020E">
        <w:rPr>
          <w:rFonts w:ascii="Rockwell" w:hAnsi="Rockwell"/>
          <w:sz w:val="24"/>
          <w:szCs w:val="24"/>
        </w:rPr>
        <w:t xml:space="preserve"> qui souhaite voir pris en compte ses besoins, ses observations et ses propres problèmes ;</w:t>
      </w:r>
    </w:p>
    <w:p w:rsidR="00171767" w:rsidRPr="0061020E" w:rsidRDefault="00E52387"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au profit de l’</w:t>
      </w:r>
      <w:r w:rsidRPr="0061020E">
        <w:rPr>
          <w:rFonts w:ascii="Rockwell" w:hAnsi="Rockwell"/>
          <w:b/>
          <w:sz w:val="24"/>
          <w:szCs w:val="24"/>
        </w:rPr>
        <w:t>acheteur</w:t>
      </w:r>
      <w:r w:rsidRPr="0061020E">
        <w:rPr>
          <w:rFonts w:ascii="Rockwell" w:hAnsi="Rockwell"/>
          <w:sz w:val="24"/>
          <w:szCs w:val="24"/>
        </w:rPr>
        <w:t xml:space="preserve"> qui souhaite améliorer l’adéquation du produit acheté, les coûts et les délais ;</w:t>
      </w:r>
    </w:p>
    <w:p w:rsidR="00171767" w:rsidRPr="0061020E" w:rsidRDefault="00E52387" w:rsidP="008F6018">
      <w:pPr>
        <w:pStyle w:val="Paragraphedeliste"/>
        <w:numPr>
          <w:ilvl w:val="0"/>
          <w:numId w:val="2"/>
        </w:numPr>
        <w:spacing w:after="120" w:line="240" w:lineRule="auto"/>
        <w:jc w:val="both"/>
        <w:rPr>
          <w:rFonts w:ascii="Rockwell" w:hAnsi="Rockwell"/>
          <w:sz w:val="24"/>
          <w:szCs w:val="24"/>
        </w:rPr>
      </w:pPr>
      <w:r w:rsidRPr="0061020E">
        <w:rPr>
          <w:rFonts w:ascii="Rockwell" w:hAnsi="Rockwell"/>
          <w:sz w:val="24"/>
          <w:szCs w:val="24"/>
        </w:rPr>
        <w:t xml:space="preserve">au profit du </w:t>
      </w:r>
      <w:r w:rsidRPr="0061020E">
        <w:rPr>
          <w:rFonts w:ascii="Rockwell" w:hAnsi="Rockwell"/>
          <w:b/>
          <w:sz w:val="24"/>
          <w:szCs w:val="24"/>
        </w:rPr>
        <w:t>fournisseur</w:t>
      </w:r>
      <w:r w:rsidRPr="0061020E">
        <w:rPr>
          <w:rFonts w:ascii="Rockwell" w:hAnsi="Rockwell"/>
          <w:sz w:val="24"/>
          <w:szCs w:val="24"/>
        </w:rPr>
        <w:t xml:space="preserve"> qui s’efforce d’améliorer la qualité de ses produits et la satisfaction </w:t>
      </w:r>
      <w:r w:rsidR="00171767" w:rsidRPr="0061020E">
        <w:rPr>
          <w:rFonts w:ascii="Rockwell" w:hAnsi="Rockwell"/>
          <w:sz w:val="24"/>
          <w:szCs w:val="24"/>
        </w:rPr>
        <w:t>de ses clients.</w:t>
      </w:r>
    </w:p>
    <w:p w:rsidR="00171767" w:rsidRPr="0061020E" w:rsidRDefault="00171767" w:rsidP="008F6018">
      <w:pPr>
        <w:spacing w:after="120" w:line="240" w:lineRule="auto"/>
        <w:jc w:val="both"/>
        <w:rPr>
          <w:rFonts w:ascii="Rockwell" w:hAnsi="Rockwell"/>
          <w:sz w:val="24"/>
          <w:szCs w:val="24"/>
        </w:rPr>
      </w:pPr>
      <w:r w:rsidRPr="0061020E">
        <w:rPr>
          <w:rFonts w:ascii="Rockwell" w:hAnsi="Rockwell"/>
          <w:sz w:val="24"/>
          <w:szCs w:val="24"/>
        </w:rPr>
        <w:t>Pour l’acheteur</w:t>
      </w:r>
      <w:r w:rsidR="00E52387">
        <w:rPr>
          <w:rFonts w:ascii="Rockwell" w:hAnsi="Rockwell"/>
          <w:sz w:val="24"/>
          <w:szCs w:val="24"/>
        </w:rPr>
        <w:t>,</w:t>
      </w:r>
      <w:r w:rsidR="000330BF" w:rsidRPr="0061020E">
        <w:rPr>
          <w:rFonts w:ascii="Rockwell" w:hAnsi="Rockwell"/>
          <w:sz w:val="24"/>
          <w:szCs w:val="24"/>
        </w:rPr>
        <w:t xml:space="preserve"> il s’agit de comparer ce qui est fourni à ce qui était attendu. Les informations exploitées peuvent provenir de son expérience propre, des utilisateurs, des consommateurs fina</w:t>
      </w:r>
      <w:r w:rsidR="00C000AB" w:rsidRPr="0061020E">
        <w:rPr>
          <w:rFonts w:ascii="Rockwell" w:hAnsi="Rockwell"/>
          <w:sz w:val="24"/>
          <w:szCs w:val="24"/>
        </w:rPr>
        <w:t>ux</w:t>
      </w:r>
      <w:r w:rsidR="000330BF" w:rsidRPr="0061020E">
        <w:rPr>
          <w:rFonts w:ascii="Rockwell" w:hAnsi="Rockwell"/>
          <w:sz w:val="24"/>
          <w:szCs w:val="24"/>
        </w:rPr>
        <w:t>, des techniciens, des contrôleurs en usine ou sur chantier, du maître d’œuvre, du fournisseur lui-même.</w:t>
      </w:r>
    </w:p>
    <w:p w:rsidR="000330BF" w:rsidRPr="0061020E" w:rsidRDefault="000330BF" w:rsidP="008F6018">
      <w:pPr>
        <w:spacing w:after="120" w:line="240" w:lineRule="auto"/>
        <w:jc w:val="both"/>
        <w:rPr>
          <w:rFonts w:ascii="Rockwell" w:hAnsi="Rockwell"/>
          <w:sz w:val="24"/>
          <w:szCs w:val="24"/>
        </w:rPr>
      </w:pPr>
      <w:r w:rsidRPr="0061020E">
        <w:rPr>
          <w:rFonts w:ascii="Rockwell" w:hAnsi="Rockwell"/>
          <w:sz w:val="24"/>
          <w:szCs w:val="24"/>
        </w:rPr>
        <w:t xml:space="preserve">Le retour d’expérience ne fonctionne pas de </w:t>
      </w:r>
      <w:r w:rsidR="00480391" w:rsidRPr="0061020E">
        <w:rPr>
          <w:rFonts w:ascii="Rockwell" w:hAnsi="Rockwell"/>
          <w:sz w:val="24"/>
          <w:szCs w:val="24"/>
        </w:rPr>
        <w:t>lui-même</w:t>
      </w:r>
      <w:r w:rsidRPr="0061020E">
        <w:rPr>
          <w:rFonts w:ascii="Rockwell" w:hAnsi="Rockwell"/>
          <w:sz w:val="24"/>
          <w:szCs w:val="24"/>
        </w:rPr>
        <w:t> : l’acheteur doit le concevoir dans un but précis</w:t>
      </w:r>
      <w:r w:rsidR="00E52387">
        <w:rPr>
          <w:rFonts w:ascii="Rockwell" w:hAnsi="Rockwell"/>
          <w:sz w:val="24"/>
          <w:szCs w:val="24"/>
        </w:rPr>
        <w:t>,</w:t>
      </w:r>
      <w:r w:rsidRPr="0061020E">
        <w:rPr>
          <w:rFonts w:ascii="Rockwell" w:hAnsi="Rockwell"/>
          <w:sz w:val="24"/>
          <w:szCs w:val="24"/>
        </w:rPr>
        <w:t xml:space="preserve"> puis l’organiser</w:t>
      </w:r>
      <w:r w:rsidR="00E52387">
        <w:rPr>
          <w:rFonts w:ascii="Rockwell" w:hAnsi="Rockwell"/>
          <w:sz w:val="24"/>
          <w:szCs w:val="24"/>
        </w:rPr>
        <w:t>,</w:t>
      </w:r>
      <w:r w:rsidRPr="0061020E">
        <w:rPr>
          <w:rFonts w:ascii="Rockwell" w:hAnsi="Rockwell"/>
          <w:sz w:val="24"/>
          <w:szCs w:val="24"/>
        </w:rPr>
        <w:t xml:space="preserve"> en mettant en place un système de recueil d’informations adapté à chaque cas, tel que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u</w:t>
      </w:r>
      <w:r w:rsidR="000330BF" w:rsidRPr="0061020E">
        <w:rPr>
          <w:rFonts w:ascii="Rockwell" w:hAnsi="Rockwell"/>
          <w:sz w:val="24"/>
          <w:szCs w:val="24"/>
        </w:rPr>
        <w:t>n questionnaire auprès des utilisateurs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d</w:t>
      </w:r>
      <w:r w:rsidR="000330BF" w:rsidRPr="0061020E">
        <w:rPr>
          <w:rFonts w:ascii="Rockwell" w:hAnsi="Rockwell"/>
          <w:sz w:val="24"/>
          <w:szCs w:val="24"/>
        </w:rPr>
        <w:t>es fiches de défauts, d’incidents ou de litiges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d</w:t>
      </w:r>
      <w:r w:rsidR="000330BF" w:rsidRPr="0061020E">
        <w:rPr>
          <w:rFonts w:ascii="Rockwell" w:hAnsi="Rockwell"/>
          <w:sz w:val="24"/>
          <w:szCs w:val="24"/>
        </w:rPr>
        <w:t>es réunions avec les</w:t>
      </w:r>
      <w:r w:rsidR="00642A3E">
        <w:rPr>
          <w:rFonts w:ascii="Rockwell" w:hAnsi="Rockwell"/>
          <w:sz w:val="24"/>
          <w:szCs w:val="24"/>
        </w:rPr>
        <w:t xml:space="preserve"> utilisateurs (cercle d’achat).</w:t>
      </w:r>
    </w:p>
    <w:p w:rsidR="000330BF" w:rsidRPr="0061020E" w:rsidRDefault="000330BF" w:rsidP="008F6018">
      <w:pPr>
        <w:spacing w:after="120" w:line="240" w:lineRule="auto"/>
        <w:jc w:val="both"/>
        <w:rPr>
          <w:rFonts w:ascii="Rockwell" w:hAnsi="Rockwell"/>
          <w:sz w:val="24"/>
          <w:szCs w:val="24"/>
        </w:rPr>
      </w:pPr>
      <w:r w:rsidRPr="0061020E">
        <w:rPr>
          <w:rFonts w:ascii="Rockwell" w:hAnsi="Rockwell"/>
          <w:sz w:val="24"/>
          <w:szCs w:val="24"/>
        </w:rPr>
        <w:t>Pour que le retour d’expérience soit pleinement efficace, il y a lieu de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p</w:t>
      </w:r>
      <w:r w:rsidR="000330BF" w:rsidRPr="0061020E">
        <w:rPr>
          <w:rFonts w:ascii="Rockwell" w:hAnsi="Rockwell"/>
          <w:sz w:val="24"/>
          <w:szCs w:val="24"/>
        </w:rPr>
        <w:t>révoir une sensibilisation des personnes interrogées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m</w:t>
      </w:r>
      <w:r w:rsidR="000330BF" w:rsidRPr="0061020E">
        <w:rPr>
          <w:rFonts w:ascii="Rockwell" w:hAnsi="Rockwell"/>
          <w:sz w:val="24"/>
          <w:szCs w:val="24"/>
        </w:rPr>
        <w:t>aintenir des liens réguliers avec les utilisateurs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i</w:t>
      </w:r>
      <w:r w:rsidR="000330BF" w:rsidRPr="0061020E">
        <w:rPr>
          <w:rFonts w:ascii="Rockwell" w:hAnsi="Rockwell"/>
          <w:sz w:val="24"/>
          <w:szCs w:val="24"/>
        </w:rPr>
        <w:t>nstituer un système simple de recueil d’informations et un système de transfert de ces informations au fournisseur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i</w:t>
      </w:r>
      <w:r w:rsidR="00E52387">
        <w:rPr>
          <w:rFonts w:ascii="Rockwell" w:hAnsi="Rockwell"/>
          <w:sz w:val="24"/>
          <w:szCs w:val="24"/>
        </w:rPr>
        <w:t>nformer des progrès</w:t>
      </w:r>
      <w:r w:rsidR="000330BF" w:rsidRPr="0061020E">
        <w:rPr>
          <w:rFonts w:ascii="Rockwell" w:hAnsi="Rockwell"/>
          <w:sz w:val="24"/>
          <w:szCs w:val="24"/>
        </w:rPr>
        <w:t xml:space="preserve"> auxquels elles ont contribué, les personnes ayant fait remonter les informations ;</w:t>
      </w:r>
    </w:p>
    <w:p w:rsidR="000330BF"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t>d</w:t>
      </w:r>
      <w:r w:rsidR="000330BF" w:rsidRPr="0061020E">
        <w:rPr>
          <w:rFonts w:ascii="Rockwell" w:hAnsi="Rockwell"/>
          <w:sz w:val="24"/>
          <w:szCs w:val="24"/>
        </w:rPr>
        <w:t>éfinir les remèdes aux défauts et insuffisances du produit et les améliorations à lui apporter, si nécessaire</w:t>
      </w:r>
      <w:r w:rsidR="00E52387">
        <w:rPr>
          <w:rFonts w:ascii="Rockwell" w:hAnsi="Rockwell"/>
          <w:sz w:val="24"/>
          <w:szCs w:val="24"/>
        </w:rPr>
        <w:t>,</w:t>
      </w:r>
      <w:r w:rsidR="00362FB5" w:rsidRPr="0061020E">
        <w:rPr>
          <w:rFonts w:ascii="Rockwell" w:hAnsi="Rockwell"/>
          <w:sz w:val="24"/>
          <w:szCs w:val="24"/>
        </w:rPr>
        <w:t xml:space="preserve"> avec le concours du fournisseur.</w:t>
      </w:r>
    </w:p>
    <w:p w:rsidR="00362FB5" w:rsidRPr="0061020E" w:rsidRDefault="00B4062A" w:rsidP="008F6018">
      <w:pPr>
        <w:pStyle w:val="Paragraphedeliste"/>
        <w:numPr>
          <w:ilvl w:val="0"/>
          <w:numId w:val="2"/>
        </w:numPr>
        <w:spacing w:after="120" w:line="240" w:lineRule="auto"/>
        <w:jc w:val="both"/>
        <w:rPr>
          <w:rFonts w:ascii="Rockwell" w:hAnsi="Rockwell"/>
          <w:sz w:val="24"/>
          <w:szCs w:val="24"/>
        </w:rPr>
      </w:pPr>
      <w:r>
        <w:rPr>
          <w:rFonts w:ascii="Rockwell" w:hAnsi="Rockwell"/>
          <w:sz w:val="24"/>
          <w:szCs w:val="24"/>
        </w:rPr>
        <w:lastRenderedPageBreak/>
        <w:t>l</w:t>
      </w:r>
      <w:r w:rsidR="00362FB5" w:rsidRPr="0061020E">
        <w:rPr>
          <w:rFonts w:ascii="Rockwell" w:hAnsi="Rockwell"/>
          <w:sz w:val="24"/>
          <w:szCs w:val="24"/>
        </w:rPr>
        <w:t>’enregistrement et la mémorisation des événements survenus et/ou des données doivent permettre une restitution thématique des informations, en fonction des besoins.</w:t>
      </w:r>
    </w:p>
    <w:p w:rsidR="00FA02CB" w:rsidRPr="0061020E" w:rsidRDefault="00FA02CB" w:rsidP="008F6018">
      <w:pPr>
        <w:pStyle w:val="Paragraphedeliste"/>
        <w:spacing w:after="120" w:line="240" w:lineRule="auto"/>
        <w:jc w:val="both"/>
        <w:rPr>
          <w:rFonts w:ascii="Rockwell" w:hAnsi="Rockwell"/>
          <w:sz w:val="24"/>
          <w:szCs w:val="24"/>
        </w:rPr>
      </w:pPr>
    </w:p>
    <w:p w:rsidR="00197881" w:rsidRPr="00642A3E" w:rsidRDefault="00197881" w:rsidP="008F6018">
      <w:pPr>
        <w:pStyle w:val="Titre3"/>
        <w:numPr>
          <w:ilvl w:val="0"/>
          <w:numId w:val="93"/>
        </w:numPr>
        <w:spacing w:before="0" w:after="120" w:line="240" w:lineRule="auto"/>
        <w:jc w:val="both"/>
        <w:rPr>
          <w:rFonts w:ascii="Rockwell" w:hAnsi="Rockwell"/>
          <w:color w:val="auto"/>
          <w:sz w:val="24"/>
          <w:szCs w:val="24"/>
        </w:rPr>
      </w:pPr>
      <w:bookmarkStart w:id="80" w:name="_Toc505063290"/>
      <w:r w:rsidRPr="00642A3E">
        <w:rPr>
          <w:rFonts w:ascii="Rockwell" w:hAnsi="Rockwell"/>
          <w:color w:val="auto"/>
          <w:sz w:val="24"/>
          <w:szCs w:val="24"/>
        </w:rPr>
        <w:t>Information sur les produits</w:t>
      </w:r>
      <w:bookmarkEnd w:id="80"/>
    </w:p>
    <w:p w:rsidR="00197881" w:rsidRPr="0061020E" w:rsidRDefault="00197881" w:rsidP="008F6018">
      <w:pPr>
        <w:spacing w:after="120" w:line="240" w:lineRule="auto"/>
        <w:jc w:val="both"/>
        <w:rPr>
          <w:rFonts w:ascii="Rockwell" w:hAnsi="Rockwell"/>
          <w:sz w:val="24"/>
          <w:szCs w:val="24"/>
        </w:rPr>
      </w:pPr>
      <w:r w:rsidRPr="0061020E">
        <w:rPr>
          <w:rFonts w:ascii="Rockwell" w:hAnsi="Rockwell"/>
          <w:sz w:val="24"/>
          <w:szCs w:val="24"/>
        </w:rPr>
        <w:t>L’exploitation du retour d’expérience permet une meilleure connaissance du produit et de ses performances, commodités d’utilisation, anomalies ou défauts répétitifs, avantages et inconvénients, attente réelle des utilisateurs, coûts de maintenance, etc.</w:t>
      </w:r>
    </w:p>
    <w:p w:rsidR="00197881" w:rsidRPr="0061020E" w:rsidRDefault="00197881" w:rsidP="008F6018">
      <w:pPr>
        <w:spacing w:after="120" w:line="240" w:lineRule="auto"/>
        <w:jc w:val="both"/>
        <w:rPr>
          <w:rFonts w:ascii="Rockwell" w:hAnsi="Rockwell"/>
          <w:sz w:val="24"/>
          <w:szCs w:val="24"/>
        </w:rPr>
      </w:pPr>
      <w:r w:rsidRPr="0061020E">
        <w:rPr>
          <w:rFonts w:ascii="Rockwell" w:hAnsi="Rockwell"/>
          <w:sz w:val="24"/>
          <w:szCs w:val="24"/>
        </w:rPr>
        <w:t xml:space="preserve">Le retour d’expérience fournit toutes les informations recueillies sur les fournisseurs </w:t>
      </w:r>
      <w:r w:rsidR="00E52387">
        <w:rPr>
          <w:rFonts w:ascii="Rockwell" w:hAnsi="Rockwell"/>
          <w:sz w:val="24"/>
          <w:szCs w:val="24"/>
        </w:rPr>
        <w:t>et</w:t>
      </w:r>
      <w:r w:rsidRPr="0061020E">
        <w:rPr>
          <w:rFonts w:ascii="Rockwell" w:hAnsi="Rockwell"/>
          <w:sz w:val="24"/>
          <w:szCs w:val="24"/>
        </w:rPr>
        <w:t xml:space="preserve"> le retour d’expérience permet de mieux orienter l’achat suivant, d’améliorer et de faire évoluer les produits existants, tout en maîtrisant</w:t>
      </w:r>
      <w:r w:rsidR="00D66020" w:rsidRPr="0061020E">
        <w:rPr>
          <w:rFonts w:ascii="Rockwell" w:hAnsi="Rockwell"/>
          <w:sz w:val="24"/>
          <w:szCs w:val="24"/>
        </w:rPr>
        <w:t xml:space="preserve"> les coûts, voire en les diminuant.</w:t>
      </w:r>
    </w:p>
    <w:p w:rsidR="00EC52C1" w:rsidRPr="0061020E" w:rsidRDefault="00EC52C1" w:rsidP="008F6018">
      <w:pPr>
        <w:spacing w:after="120" w:line="240" w:lineRule="auto"/>
        <w:ind w:left="360"/>
        <w:jc w:val="both"/>
        <w:rPr>
          <w:rFonts w:ascii="Rockwell" w:hAnsi="Rockwell"/>
          <w:sz w:val="24"/>
          <w:szCs w:val="24"/>
        </w:rPr>
      </w:pPr>
    </w:p>
    <w:p w:rsidR="00D66020" w:rsidRPr="00642A3E" w:rsidRDefault="00D66020" w:rsidP="008F6018">
      <w:pPr>
        <w:pStyle w:val="Titre3"/>
        <w:numPr>
          <w:ilvl w:val="0"/>
          <w:numId w:val="93"/>
        </w:numPr>
        <w:spacing w:before="0" w:after="120" w:line="240" w:lineRule="auto"/>
        <w:jc w:val="both"/>
        <w:rPr>
          <w:rFonts w:ascii="Rockwell" w:hAnsi="Rockwell"/>
          <w:color w:val="auto"/>
          <w:sz w:val="24"/>
          <w:szCs w:val="24"/>
        </w:rPr>
      </w:pPr>
      <w:bookmarkStart w:id="81" w:name="_Toc505063291"/>
      <w:r w:rsidRPr="00642A3E">
        <w:rPr>
          <w:rFonts w:ascii="Rockwell" w:hAnsi="Rockwell"/>
          <w:color w:val="auto"/>
          <w:sz w:val="24"/>
          <w:szCs w:val="24"/>
        </w:rPr>
        <w:t>Informations sur les fournisseurs</w:t>
      </w:r>
      <w:bookmarkEnd w:id="81"/>
    </w:p>
    <w:p w:rsidR="00D66020" w:rsidRPr="0061020E" w:rsidRDefault="00D66020" w:rsidP="008F6018">
      <w:pPr>
        <w:spacing w:after="120" w:line="240" w:lineRule="auto"/>
        <w:jc w:val="both"/>
        <w:rPr>
          <w:rFonts w:ascii="Rockwell" w:hAnsi="Rockwell"/>
          <w:sz w:val="24"/>
          <w:szCs w:val="24"/>
        </w:rPr>
      </w:pPr>
      <w:r w:rsidRPr="0061020E">
        <w:rPr>
          <w:rFonts w:ascii="Rockwell" w:hAnsi="Rockwell"/>
          <w:sz w:val="24"/>
          <w:szCs w:val="24"/>
        </w:rPr>
        <w:t>La gestion des informations recueillies sur les fournisseurs par le retour d’expérience permet de mieux conna</w:t>
      </w:r>
      <w:r w:rsidR="00E52387">
        <w:rPr>
          <w:rFonts w:ascii="Rockwell" w:hAnsi="Rockwell"/>
          <w:sz w:val="24"/>
          <w:szCs w:val="24"/>
        </w:rPr>
        <w:t>î</w:t>
      </w:r>
      <w:r w:rsidRPr="0061020E">
        <w:rPr>
          <w:rFonts w:ascii="Rockwell" w:hAnsi="Rockwell"/>
          <w:sz w:val="24"/>
          <w:szCs w:val="24"/>
        </w:rPr>
        <w:t>tre leurs prestations</w:t>
      </w:r>
      <w:r w:rsidR="00E52387">
        <w:rPr>
          <w:rFonts w:ascii="Rockwell" w:hAnsi="Rockwell"/>
          <w:sz w:val="24"/>
          <w:szCs w:val="24"/>
        </w:rPr>
        <w:t>,</w:t>
      </w:r>
      <w:r w:rsidRPr="0061020E">
        <w:rPr>
          <w:rFonts w:ascii="Rockwell" w:hAnsi="Rockwell"/>
          <w:sz w:val="24"/>
          <w:szCs w:val="24"/>
        </w:rPr>
        <w:t xml:space="preserve"> en termes de prix, de délais, de suivi </w:t>
      </w:r>
      <w:r w:rsidR="009E4F6B" w:rsidRPr="0061020E">
        <w:rPr>
          <w:rFonts w:ascii="Rockwell" w:hAnsi="Rockwell"/>
          <w:sz w:val="24"/>
          <w:szCs w:val="24"/>
        </w:rPr>
        <w:t>après-vente</w:t>
      </w:r>
      <w:r w:rsidRPr="0061020E">
        <w:rPr>
          <w:rFonts w:ascii="Rockwell" w:hAnsi="Rockwell"/>
          <w:sz w:val="24"/>
          <w:szCs w:val="24"/>
        </w:rPr>
        <w:t>, etc., ainsi que les performances de leurs produits.</w:t>
      </w:r>
    </w:p>
    <w:p w:rsidR="00EC52C1" w:rsidRPr="0061020E" w:rsidRDefault="00D66020" w:rsidP="008F6018">
      <w:pPr>
        <w:spacing w:after="120" w:line="240" w:lineRule="auto"/>
        <w:jc w:val="both"/>
        <w:rPr>
          <w:rFonts w:ascii="Rockwell" w:hAnsi="Rockwell"/>
          <w:sz w:val="24"/>
          <w:szCs w:val="24"/>
        </w:rPr>
      </w:pPr>
      <w:r w:rsidRPr="0061020E">
        <w:rPr>
          <w:rFonts w:ascii="Rockwell" w:hAnsi="Rockwell"/>
          <w:sz w:val="24"/>
          <w:szCs w:val="24"/>
        </w:rPr>
        <w:t>Lorsque l’acheteur a mis en place des procédures de qualification, les informations recueillies par le retour d’expérience permettent d’alimenter et de faire évoluer ces qualifications. En particulier, une évaluation régulière et méthodique des prestations des fournisseurs permet de réévaluer les qualifications attribuées.</w:t>
      </w:r>
    </w:p>
    <w:p w:rsidR="00EC52C1" w:rsidRPr="0061020E" w:rsidRDefault="00EC52C1" w:rsidP="008F6018">
      <w:pPr>
        <w:spacing w:after="120" w:line="240" w:lineRule="auto"/>
        <w:ind w:left="360"/>
        <w:jc w:val="both"/>
        <w:rPr>
          <w:rFonts w:ascii="Rockwell" w:hAnsi="Rockwell"/>
          <w:sz w:val="24"/>
          <w:szCs w:val="24"/>
        </w:rPr>
      </w:pPr>
    </w:p>
    <w:p w:rsidR="00F50F12" w:rsidRPr="00642A3E" w:rsidRDefault="00F50F12" w:rsidP="008F6018">
      <w:pPr>
        <w:pStyle w:val="Titre3"/>
        <w:numPr>
          <w:ilvl w:val="0"/>
          <w:numId w:val="93"/>
        </w:numPr>
        <w:spacing w:before="0" w:after="120" w:line="240" w:lineRule="auto"/>
        <w:jc w:val="both"/>
        <w:rPr>
          <w:rFonts w:ascii="Rockwell" w:hAnsi="Rockwell"/>
          <w:color w:val="auto"/>
          <w:sz w:val="24"/>
          <w:szCs w:val="24"/>
        </w:rPr>
      </w:pPr>
      <w:bookmarkStart w:id="82" w:name="_Toc505063292"/>
      <w:r w:rsidRPr="00642A3E">
        <w:rPr>
          <w:rFonts w:ascii="Rockwell" w:hAnsi="Rockwell"/>
          <w:color w:val="auto"/>
          <w:sz w:val="24"/>
          <w:szCs w:val="24"/>
        </w:rPr>
        <w:t>Mise en commun d’informations avec d’autres acheteurs</w:t>
      </w:r>
      <w:bookmarkEnd w:id="82"/>
    </w:p>
    <w:p w:rsidR="00F50F12" w:rsidRPr="0061020E" w:rsidRDefault="00F50F12" w:rsidP="008F6018">
      <w:pPr>
        <w:spacing w:after="120" w:line="240" w:lineRule="auto"/>
        <w:jc w:val="both"/>
        <w:rPr>
          <w:rFonts w:ascii="Rockwell" w:hAnsi="Rockwell"/>
          <w:sz w:val="24"/>
          <w:szCs w:val="24"/>
        </w:rPr>
      </w:pPr>
      <w:r w:rsidRPr="0061020E">
        <w:rPr>
          <w:rFonts w:ascii="Rockwell" w:hAnsi="Rockwell"/>
          <w:sz w:val="24"/>
          <w:szCs w:val="24"/>
        </w:rPr>
        <w:t>La mise en commun, avec d’autres acheteurs, d’information</w:t>
      </w:r>
      <w:r w:rsidR="00E52387">
        <w:rPr>
          <w:rFonts w:ascii="Rockwell" w:hAnsi="Rockwell"/>
          <w:sz w:val="24"/>
          <w:szCs w:val="24"/>
        </w:rPr>
        <w:t>s</w:t>
      </w:r>
      <w:r w:rsidRPr="0061020E">
        <w:rPr>
          <w:rFonts w:ascii="Rockwell" w:hAnsi="Rockwell"/>
          <w:sz w:val="24"/>
          <w:szCs w:val="24"/>
        </w:rPr>
        <w:t xml:space="preserve"> sur des produits ou des fournisseurs communs est aussi une forme bénéfique de retour d’expérience. L’échange de vues sur des préoccupations communes, concernant par exemple l’utilisation des produits, les procédures d’achat et d’élaboration des contrats, le suivi des fournisseurs, etc., est riche d’enseignements.</w:t>
      </w:r>
    </w:p>
    <w:p w:rsidR="00F50F12" w:rsidRDefault="00F50F12" w:rsidP="008F6018">
      <w:pPr>
        <w:spacing w:after="120" w:line="240" w:lineRule="auto"/>
        <w:jc w:val="both"/>
        <w:rPr>
          <w:rFonts w:ascii="Rockwell" w:hAnsi="Rockwell"/>
          <w:sz w:val="24"/>
          <w:szCs w:val="24"/>
        </w:rPr>
      </w:pPr>
      <w:r w:rsidRPr="0061020E">
        <w:rPr>
          <w:rFonts w:ascii="Rockwell" w:hAnsi="Rockwell"/>
          <w:sz w:val="24"/>
          <w:szCs w:val="24"/>
        </w:rPr>
        <w:t>Les acheteurs n’en sont pas moins tenus de respecter scrupuleusement</w:t>
      </w:r>
      <w:r w:rsidR="00E52387">
        <w:rPr>
          <w:rFonts w:ascii="Rockwell" w:hAnsi="Rockwell"/>
          <w:sz w:val="24"/>
          <w:szCs w:val="24"/>
        </w:rPr>
        <w:t>,</w:t>
      </w:r>
      <w:r w:rsidRPr="0061020E">
        <w:rPr>
          <w:rFonts w:ascii="Rockwell" w:hAnsi="Rockwell"/>
          <w:sz w:val="24"/>
          <w:szCs w:val="24"/>
        </w:rPr>
        <w:t xml:space="preserve"> les obligations de confidentialité</w:t>
      </w:r>
      <w:r w:rsidR="00AE38D0" w:rsidRPr="0061020E">
        <w:rPr>
          <w:rFonts w:ascii="Rockwell" w:hAnsi="Rockwell"/>
          <w:sz w:val="24"/>
          <w:szCs w:val="24"/>
        </w:rPr>
        <w:t xml:space="preserve"> et de réserve concernant les informations recueillies sur les fournisseurs et leurs produits.</w:t>
      </w:r>
    </w:p>
    <w:p w:rsidR="00732685" w:rsidRPr="0061020E" w:rsidRDefault="00732685" w:rsidP="008F6018">
      <w:pPr>
        <w:spacing w:after="120" w:line="240" w:lineRule="auto"/>
        <w:jc w:val="both"/>
        <w:rPr>
          <w:rFonts w:ascii="Rockwell" w:hAnsi="Rockwell"/>
          <w:sz w:val="24"/>
          <w:szCs w:val="24"/>
        </w:rPr>
      </w:pPr>
    </w:p>
    <w:p w:rsidR="00556482" w:rsidRPr="00642A3E" w:rsidRDefault="00556482" w:rsidP="008F6018">
      <w:pPr>
        <w:pStyle w:val="Titre3"/>
        <w:numPr>
          <w:ilvl w:val="0"/>
          <w:numId w:val="93"/>
        </w:numPr>
        <w:spacing w:before="0" w:after="120" w:line="240" w:lineRule="auto"/>
        <w:jc w:val="both"/>
        <w:rPr>
          <w:rFonts w:ascii="Rockwell" w:hAnsi="Rockwell"/>
          <w:color w:val="auto"/>
          <w:sz w:val="24"/>
          <w:szCs w:val="24"/>
        </w:rPr>
      </w:pPr>
      <w:bookmarkStart w:id="83" w:name="_Toc505063293"/>
      <w:r w:rsidRPr="00642A3E">
        <w:rPr>
          <w:rFonts w:ascii="Rockwell" w:hAnsi="Rockwell"/>
          <w:color w:val="auto"/>
          <w:sz w:val="24"/>
          <w:szCs w:val="24"/>
        </w:rPr>
        <w:t>Information</w:t>
      </w:r>
      <w:r w:rsidR="00E52387">
        <w:rPr>
          <w:rFonts w:ascii="Rockwell" w:hAnsi="Rockwell"/>
          <w:color w:val="auto"/>
          <w:sz w:val="24"/>
          <w:szCs w:val="24"/>
        </w:rPr>
        <w:t>s</w:t>
      </w:r>
      <w:r w:rsidRPr="00642A3E">
        <w:rPr>
          <w:rFonts w:ascii="Rockwell" w:hAnsi="Rockwell"/>
          <w:color w:val="auto"/>
          <w:sz w:val="24"/>
          <w:szCs w:val="24"/>
        </w:rPr>
        <w:t xml:space="preserve"> à donner au fournisseur</w:t>
      </w:r>
      <w:bookmarkEnd w:id="83"/>
    </w:p>
    <w:p w:rsidR="00556482" w:rsidRPr="0061020E" w:rsidRDefault="00556482" w:rsidP="008F6018">
      <w:pPr>
        <w:spacing w:after="120" w:line="240" w:lineRule="auto"/>
        <w:jc w:val="both"/>
        <w:rPr>
          <w:rFonts w:ascii="Rockwell" w:hAnsi="Rockwell"/>
          <w:sz w:val="24"/>
          <w:szCs w:val="24"/>
        </w:rPr>
      </w:pPr>
      <w:r w:rsidRPr="0061020E">
        <w:rPr>
          <w:rFonts w:ascii="Rockwell" w:hAnsi="Rockwell"/>
          <w:sz w:val="24"/>
          <w:szCs w:val="24"/>
        </w:rPr>
        <w:t>Il est du devoir de l’acheteur de communiquer</w:t>
      </w:r>
      <w:r w:rsidR="00F86D59" w:rsidRPr="0061020E">
        <w:rPr>
          <w:rFonts w:ascii="Rockwell" w:hAnsi="Rockwell"/>
          <w:sz w:val="24"/>
          <w:szCs w:val="24"/>
        </w:rPr>
        <w:t xml:space="preserve"> au fournisseur les informations recueillies sur son produit</w:t>
      </w:r>
      <w:r w:rsidR="00E52387">
        <w:rPr>
          <w:rFonts w:ascii="Rockwell" w:hAnsi="Rockwell"/>
          <w:sz w:val="24"/>
          <w:szCs w:val="24"/>
        </w:rPr>
        <w:t>,</w:t>
      </w:r>
      <w:r w:rsidR="00F86D59" w:rsidRPr="0061020E">
        <w:rPr>
          <w:rFonts w:ascii="Rockwell" w:hAnsi="Rockwell"/>
          <w:sz w:val="24"/>
          <w:szCs w:val="24"/>
        </w:rPr>
        <w:t xml:space="preserve"> grâce au retour d’expérience, car le progrès du fournisseur et l’amélioration de son produit sont de l’intérêt commun du fournisseur et de ses acheteurs. Si les défauts mis en lumière sont dangereux ou graves, l’acheteur doit mettre son fournisseur en demeure de les corriger.</w:t>
      </w:r>
    </w:p>
    <w:p w:rsidR="00F86D59" w:rsidRPr="0061020E" w:rsidRDefault="00F86D59" w:rsidP="008F6018">
      <w:pPr>
        <w:spacing w:after="120" w:line="240" w:lineRule="auto"/>
        <w:ind w:left="360"/>
        <w:jc w:val="both"/>
        <w:rPr>
          <w:rFonts w:ascii="Rockwell" w:hAnsi="Rockwell"/>
          <w:b/>
          <w:sz w:val="24"/>
          <w:szCs w:val="24"/>
        </w:rPr>
      </w:pPr>
      <w:r w:rsidRPr="0061020E">
        <w:rPr>
          <w:rFonts w:ascii="Rockwell" w:hAnsi="Rockwell"/>
          <w:b/>
          <w:sz w:val="24"/>
          <w:szCs w:val="24"/>
        </w:rPr>
        <w:t>Retour d’expérience vers les certificateurs</w:t>
      </w:r>
    </w:p>
    <w:p w:rsidR="00F86D59" w:rsidRPr="0061020E" w:rsidRDefault="008D1CE4" w:rsidP="008F6018">
      <w:pPr>
        <w:spacing w:after="120" w:line="240" w:lineRule="auto"/>
        <w:jc w:val="both"/>
        <w:rPr>
          <w:rFonts w:ascii="Rockwell" w:hAnsi="Rockwell"/>
          <w:sz w:val="24"/>
          <w:szCs w:val="24"/>
        </w:rPr>
      </w:pPr>
      <w:r w:rsidRPr="0061020E">
        <w:rPr>
          <w:rFonts w:ascii="Rockwell" w:hAnsi="Rockwell"/>
          <w:sz w:val="24"/>
          <w:szCs w:val="24"/>
        </w:rPr>
        <w:t>Tou</w:t>
      </w:r>
      <w:r w:rsidR="00E52387">
        <w:rPr>
          <w:rFonts w:ascii="Rockwell" w:hAnsi="Rockwell"/>
          <w:sz w:val="24"/>
          <w:szCs w:val="24"/>
        </w:rPr>
        <w:t>t</w:t>
      </w:r>
      <w:r w:rsidR="00F86D59" w:rsidRPr="0061020E">
        <w:rPr>
          <w:rFonts w:ascii="Rockwell" w:hAnsi="Rockwell"/>
          <w:sz w:val="24"/>
          <w:szCs w:val="24"/>
        </w:rPr>
        <w:t xml:space="preserve"> cas </w:t>
      </w:r>
      <w:r w:rsidR="00E52387">
        <w:rPr>
          <w:rFonts w:ascii="Rockwell" w:hAnsi="Rockwell"/>
          <w:sz w:val="24"/>
          <w:szCs w:val="24"/>
        </w:rPr>
        <w:t>de</w:t>
      </w:r>
      <w:r w:rsidR="00F86D59" w:rsidRPr="0061020E">
        <w:rPr>
          <w:rFonts w:ascii="Rockwell" w:hAnsi="Rockwell"/>
          <w:sz w:val="24"/>
          <w:szCs w:val="24"/>
        </w:rPr>
        <w:t xml:space="preserve"> certificat d’essai, de produit, de système qualité, de personnel </w:t>
      </w:r>
      <w:r w:rsidR="00E52387">
        <w:rPr>
          <w:rFonts w:ascii="Rockwell" w:hAnsi="Rockwell"/>
          <w:sz w:val="24"/>
          <w:szCs w:val="24"/>
        </w:rPr>
        <w:t xml:space="preserve">qui </w:t>
      </w:r>
      <w:r w:rsidR="00F86D59" w:rsidRPr="0061020E">
        <w:rPr>
          <w:rFonts w:ascii="Rockwell" w:hAnsi="Rockwell"/>
          <w:sz w:val="24"/>
          <w:szCs w:val="24"/>
        </w:rPr>
        <w:t>se révélerait manifestement non mérité doit être signalé à l’organisme de certification : il s’agit là</w:t>
      </w:r>
      <w:r w:rsidR="00E52387">
        <w:rPr>
          <w:rFonts w:ascii="Rockwell" w:hAnsi="Rockwell"/>
          <w:sz w:val="24"/>
          <w:szCs w:val="24"/>
        </w:rPr>
        <w:t>,</w:t>
      </w:r>
      <w:r w:rsidR="00F86D59" w:rsidRPr="0061020E">
        <w:rPr>
          <w:rFonts w:ascii="Rockwell" w:hAnsi="Rockwell"/>
          <w:sz w:val="24"/>
          <w:szCs w:val="24"/>
        </w:rPr>
        <w:t xml:space="preserve"> d’une contribution de l’acheteur nécessaire au maintien de la valeur des certificats. L’absence de réaction de cet organisme </w:t>
      </w:r>
      <w:r w:rsidR="00E52387">
        <w:rPr>
          <w:rFonts w:ascii="Rockwell" w:hAnsi="Rockwell"/>
          <w:sz w:val="24"/>
          <w:szCs w:val="24"/>
        </w:rPr>
        <w:t>doit être</w:t>
      </w:r>
      <w:r w:rsidR="00F86D59" w:rsidRPr="0061020E">
        <w:rPr>
          <w:rFonts w:ascii="Rockwell" w:hAnsi="Rockwell"/>
          <w:sz w:val="24"/>
          <w:szCs w:val="24"/>
        </w:rPr>
        <w:t xml:space="preserve"> signal</w:t>
      </w:r>
      <w:r w:rsidR="009C1094">
        <w:rPr>
          <w:rFonts w:ascii="Rockwell" w:hAnsi="Rockwell"/>
          <w:sz w:val="24"/>
          <w:szCs w:val="24"/>
        </w:rPr>
        <w:t>é</w:t>
      </w:r>
      <w:r w:rsidR="00F86D59" w:rsidRPr="0061020E">
        <w:rPr>
          <w:rFonts w:ascii="Rockwell" w:hAnsi="Rockwell"/>
          <w:sz w:val="24"/>
          <w:szCs w:val="24"/>
        </w:rPr>
        <w:t>e à l’organisme d’accréditation du certificateur.</w:t>
      </w:r>
    </w:p>
    <w:p w:rsidR="00EA3DE8" w:rsidRPr="0061020E" w:rsidRDefault="00EA3DE8" w:rsidP="008F6018">
      <w:pPr>
        <w:spacing w:after="120" w:line="240" w:lineRule="auto"/>
        <w:ind w:left="360"/>
        <w:jc w:val="both"/>
        <w:rPr>
          <w:rFonts w:ascii="Rockwell" w:hAnsi="Rockwell"/>
          <w:b/>
          <w:sz w:val="24"/>
          <w:szCs w:val="24"/>
        </w:rPr>
      </w:pPr>
      <w:r w:rsidRPr="0061020E">
        <w:rPr>
          <w:rFonts w:ascii="Rockwell" w:hAnsi="Rockwell"/>
          <w:b/>
          <w:sz w:val="24"/>
          <w:szCs w:val="24"/>
        </w:rPr>
        <w:t>Retour d’expérience vers l’administration de contrôle</w:t>
      </w:r>
    </w:p>
    <w:p w:rsidR="00A634F2" w:rsidRPr="0061020E" w:rsidRDefault="00A634F2" w:rsidP="008F6018">
      <w:pPr>
        <w:spacing w:after="120" w:line="240" w:lineRule="auto"/>
        <w:jc w:val="both"/>
        <w:rPr>
          <w:rFonts w:ascii="Rockwell" w:hAnsi="Rockwell"/>
          <w:sz w:val="24"/>
          <w:szCs w:val="24"/>
        </w:rPr>
      </w:pPr>
      <w:r w:rsidRPr="0061020E">
        <w:rPr>
          <w:rFonts w:ascii="Rockwell" w:hAnsi="Rockwell"/>
          <w:sz w:val="24"/>
          <w:szCs w:val="24"/>
        </w:rPr>
        <w:lastRenderedPageBreak/>
        <w:t>L’obtention du « meilleur achat » implique une optimisation sous</w:t>
      </w:r>
      <w:r w:rsidR="009C1094">
        <w:rPr>
          <w:rFonts w:ascii="Rockwell" w:hAnsi="Rockwell"/>
          <w:sz w:val="24"/>
          <w:szCs w:val="24"/>
        </w:rPr>
        <w:t>,</w:t>
      </w:r>
      <w:r w:rsidRPr="0061020E">
        <w:rPr>
          <w:rFonts w:ascii="Rockwell" w:hAnsi="Rockwell"/>
          <w:sz w:val="24"/>
          <w:szCs w:val="24"/>
        </w:rPr>
        <w:t xml:space="preserve"> la double contrainte du respect de la r</w:t>
      </w:r>
      <w:r w:rsidR="00E52387">
        <w:rPr>
          <w:rFonts w:ascii="Rockwell" w:hAnsi="Rockwell"/>
          <w:sz w:val="24"/>
          <w:szCs w:val="24"/>
        </w:rPr>
        <w:t>é</w:t>
      </w:r>
      <w:r w:rsidRPr="0061020E">
        <w:rPr>
          <w:rFonts w:ascii="Rockwell" w:hAnsi="Rockwell"/>
          <w:sz w:val="24"/>
          <w:szCs w:val="24"/>
        </w:rPr>
        <w:t>glementation et de la limitation des moyens financiers et techniques de l’acheteur.</w:t>
      </w:r>
    </w:p>
    <w:p w:rsidR="00A634F2" w:rsidRPr="0061020E" w:rsidRDefault="00A634F2" w:rsidP="008F6018">
      <w:pPr>
        <w:spacing w:after="120" w:line="240" w:lineRule="auto"/>
        <w:jc w:val="both"/>
        <w:rPr>
          <w:rFonts w:ascii="Rockwell" w:hAnsi="Rockwell"/>
          <w:sz w:val="24"/>
          <w:szCs w:val="24"/>
        </w:rPr>
      </w:pPr>
      <w:r w:rsidRPr="0061020E">
        <w:rPr>
          <w:rFonts w:ascii="Rockwell" w:hAnsi="Rockwell"/>
          <w:sz w:val="24"/>
          <w:szCs w:val="24"/>
        </w:rPr>
        <w:t>Cette optimisation porte essentiellement</w:t>
      </w:r>
      <w:r w:rsidR="00E52387">
        <w:rPr>
          <w:rFonts w:ascii="Rockwell" w:hAnsi="Rockwell"/>
          <w:sz w:val="24"/>
          <w:szCs w:val="24"/>
        </w:rPr>
        <w:t>,</w:t>
      </w:r>
      <w:r w:rsidRPr="0061020E">
        <w:rPr>
          <w:rFonts w:ascii="Rockwell" w:hAnsi="Rockwell"/>
          <w:sz w:val="24"/>
          <w:szCs w:val="24"/>
        </w:rPr>
        <w:t xml:space="preserve"> sur la définition du besoin et sur les exigences de conformité. Elle n</w:t>
      </w:r>
      <w:r w:rsidR="003821C5" w:rsidRPr="0061020E">
        <w:rPr>
          <w:rFonts w:ascii="Rockwell" w:hAnsi="Rockwell"/>
          <w:sz w:val="24"/>
          <w:szCs w:val="24"/>
        </w:rPr>
        <w:t>e s</w:t>
      </w:r>
      <w:r w:rsidRPr="0061020E">
        <w:rPr>
          <w:rFonts w:ascii="Rockwell" w:hAnsi="Rockwell"/>
          <w:sz w:val="24"/>
          <w:szCs w:val="24"/>
        </w:rPr>
        <w:t>’exerce pas dans l’absolu</w:t>
      </w:r>
      <w:r w:rsidR="00E52387">
        <w:rPr>
          <w:rFonts w:ascii="Rockwell" w:hAnsi="Rockwell"/>
          <w:sz w:val="24"/>
          <w:szCs w:val="24"/>
        </w:rPr>
        <w:t>,</w:t>
      </w:r>
      <w:r w:rsidRPr="0061020E">
        <w:rPr>
          <w:rFonts w:ascii="Rockwell" w:hAnsi="Rockwell"/>
          <w:sz w:val="24"/>
          <w:szCs w:val="24"/>
        </w:rPr>
        <w:t xml:space="preserve"> mais toujours en vue d’une utilisation déterminée et en fonction de l’offre du marché. Mais</w:t>
      </w:r>
      <w:r w:rsidR="00E52387">
        <w:rPr>
          <w:rFonts w:ascii="Rockwell" w:hAnsi="Rockwell"/>
          <w:sz w:val="24"/>
          <w:szCs w:val="24"/>
        </w:rPr>
        <w:t>,</w:t>
      </w:r>
      <w:r w:rsidRPr="0061020E">
        <w:rPr>
          <w:rFonts w:ascii="Rockwell" w:hAnsi="Rockwell"/>
          <w:sz w:val="24"/>
          <w:szCs w:val="24"/>
        </w:rPr>
        <w:t xml:space="preserve"> l’incertitude, qui peut affecter les conditions et la durée d’utilisation du produit ou provenir d’une évolution rapide de l’offre du marché, surtout dans les secteurs qui bénéficient de grands</w:t>
      </w:r>
      <w:r w:rsidR="005E4F02" w:rsidRPr="0061020E">
        <w:rPr>
          <w:rFonts w:ascii="Rockwell" w:hAnsi="Rockwell"/>
          <w:sz w:val="24"/>
          <w:szCs w:val="24"/>
        </w:rPr>
        <w:t xml:space="preserve"> progrès technologiques, rend l’optimisation aléatoire et complexe.</w:t>
      </w:r>
    </w:p>
    <w:p w:rsidR="005E4F02" w:rsidRPr="0061020E" w:rsidRDefault="005E4F02" w:rsidP="008F6018">
      <w:pPr>
        <w:spacing w:after="120" w:line="240" w:lineRule="auto"/>
        <w:jc w:val="both"/>
        <w:rPr>
          <w:rFonts w:ascii="Rockwell" w:hAnsi="Rockwell"/>
          <w:sz w:val="24"/>
          <w:szCs w:val="24"/>
        </w:rPr>
      </w:pPr>
      <w:r w:rsidRPr="0061020E">
        <w:rPr>
          <w:rFonts w:ascii="Rockwell" w:hAnsi="Rockwell"/>
          <w:sz w:val="24"/>
          <w:szCs w:val="24"/>
        </w:rPr>
        <w:t>C’est pourquoi l’acheteur et les autres intervenants dans l’approvisionnement doivent faire preuve d’imagination et coopérer</w:t>
      </w:r>
      <w:r w:rsidR="00E52387">
        <w:rPr>
          <w:rFonts w:ascii="Rockwell" w:hAnsi="Rockwell"/>
          <w:sz w:val="24"/>
          <w:szCs w:val="24"/>
        </w:rPr>
        <w:t>,</w:t>
      </w:r>
      <w:r w:rsidRPr="0061020E">
        <w:rPr>
          <w:rFonts w:ascii="Rockwell" w:hAnsi="Rockwell"/>
          <w:sz w:val="24"/>
          <w:szCs w:val="24"/>
        </w:rPr>
        <w:t xml:space="preserve"> depuis la </w:t>
      </w:r>
      <w:r w:rsidR="001C7F07" w:rsidRPr="0061020E">
        <w:rPr>
          <w:rFonts w:ascii="Rockwell" w:hAnsi="Rockwell"/>
          <w:sz w:val="24"/>
          <w:szCs w:val="24"/>
        </w:rPr>
        <w:t>définition du besoin jusqu’au retour d’expérience, en s’attachant particulièrement</w:t>
      </w:r>
      <w:r w:rsidR="00E52387">
        <w:rPr>
          <w:rFonts w:ascii="Rockwell" w:hAnsi="Rockwell"/>
          <w:sz w:val="24"/>
          <w:szCs w:val="24"/>
        </w:rPr>
        <w:t>,</w:t>
      </w:r>
      <w:r w:rsidR="001C7F07" w:rsidRPr="0061020E">
        <w:rPr>
          <w:rFonts w:ascii="Rockwell" w:hAnsi="Rockwell"/>
          <w:sz w:val="24"/>
          <w:szCs w:val="24"/>
        </w:rPr>
        <w:t xml:space="preserve"> aux domaines où les perspectives d’économie</w:t>
      </w:r>
      <w:r w:rsidR="009C1094">
        <w:rPr>
          <w:rFonts w:ascii="Rockwell" w:hAnsi="Rockwell"/>
          <w:sz w:val="24"/>
          <w:szCs w:val="24"/>
        </w:rPr>
        <w:t>,</w:t>
      </w:r>
      <w:r w:rsidR="001C7F07" w:rsidRPr="0061020E">
        <w:rPr>
          <w:rFonts w:ascii="Rockwell" w:hAnsi="Rockwell"/>
          <w:sz w:val="24"/>
          <w:szCs w:val="24"/>
        </w:rPr>
        <w:t xml:space="preserve"> paraissent les plus fructueuses et les plus probables.</w:t>
      </w:r>
    </w:p>
    <w:p w:rsidR="00104BBA" w:rsidRPr="0061020E" w:rsidRDefault="00104BBA" w:rsidP="008F6018">
      <w:pPr>
        <w:pStyle w:val="Titre1"/>
        <w:spacing w:after="120"/>
        <w:jc w:val="both"/>
        <w:rPr>
          <w:rFonts w:ascii="Rockwell" w:hAnsi="Rockwell"/>
        </w:rPr>
      </w:pPr>
    </w:p>
    <w:p w:rsidR="00104BBA" w:rsidRDefault="00104BBA"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CE450B" w:rsidRDefault="00CE450B" w:rsidP="008F6018">
      <w:pPr>
        <w:spacing w:after="120" w:line="240" w:lineRule="auto"/>
        <w:jc w:val="both"/>
        <w:rPr>
          <w:rFonts w:ascii="Rockwell" w:hAnsi="Rockwell"/>
          <w:sz w:val="24"/>
          <w:szCs w:val="24"/>
          <w:lang w:eastAsia="fr-FR"/>
        </w:rPr>
      </w:pPr>
    </w:p>
    <w:p w:rsidR="008C5D22" w:rsidRPr="0061020E" w:rsidRDefault="00A02AD8" w:rsidP="008F6018">
      <w:pPr>
        <w:pStyle w:val="Titre1"/>
        <w:spacing w:after="120"/>
        <w:jc w:val="both"/>
        <w:rPr>
          <w:rFonts w:ascii="Rockwell" w:hAnsi="Rockwell"/>
        </w:rPr>
      </w:pPr>
      <w:bookmarkStart w:id="84" w:name="_Toc503784927"/>
      <w:bookmarkStart w:id="85" w:name="_Toc505063294"/>
      <w:r w:rsidRPr="0061020E">
        <w:rPr>
          <w:rFonts w:ascii="Rockwell" w:hAnsi="Rockwell"/>
        </w:rPr>
        <w:t xml:space="preserve">IIIème </w:t>
      </w:r>
      <w:r w:rsidR="00844FE3">
        <w:rPr>
          <w:rFonts w:ascii="Rockwell" w:hAnsi="Rockwell"/>
        </w:rPr>
        <w:t>PARTIE -</w:t>
      </w:r>
      <w:r w:rsidR="008C5D22" w:rsidRPr="0061020E">
        <w:rPr>
          <w:rFonts w:ascii="Rockwell" w:hAnsi="Rockwell"/>
        </w:rPr>
        <w:t xml:space="preserve"> EXIGENCES MINIMALES EN MATIERE DE GESTION DE LA QUALITE</w:t>
      </w:r>
      <w:bookmarkEnd w:id="84"/>
      <w:bookmarkEnd w:id="85"/>
    </w:p>
    <w:p w:rsidR="00A04029" w:rsidRPr="0061020E" w:rsidRDefault="00A04029" w:rsidP="008F6018">
      <w:pPr>
        <w:spacing w:after="120" w:line="240" w:lineRule="auto"/>
        <w:jc w:val="both"/>
        <w:rPr>
          <w:rFonts w:ascii="Rockwell" w:hAnsi="Rockwell"/>
          <w:b/>
          <w:sz w:val="24"/>
          <w:szCs w:val="24"/>
        </w:rPr>
      </w:pPr>
    </w:p>
    <w:p w:rsidR="008C5D22" w:rsidRPr="00865A47" w:rsidRDefault="008C5D22" w:rsidP="008F6018">
      <w:pPr>
        <w:pStyle w:val="Titre2"/>
        <w:numPr>
          <w:ilvl w:val="0"/>
          <w:numId w:val="94"/>
        </w:numPr>
        <w:spacing w:before="0" w:after="120" w:line="240" w:lineRule="auto"/>
        <w:jc w:val="both"/>
        <w:rPr>
          <w:rFonts w:ascii="Rockwell" w:hAnsi="Rockwell"/>
          <w:color w:val="auto"/>
          <w:sz w:val="24"/>
          <w:szCs w:val="24"/>
        </w:rPr>
      </w:pPr>
      <w:bookmarkStart w:id="86" w:name="_Toc462414115"/>
      <w:bookmarkStart w:id="87" w:name="_Toc462414366"/>
      <w:bookmarkStart w:id="88" w:name="_Toc462414617"/>
      <w:bookmarkStart w:id="89" w:name="_Toc462414801"/>
      <w:bookmarkStart w:id="90" w:name="_Toc462414116"/>
      <w:bookmarkStart w:id="91" w:name="_Toc462414367"/>
      <w:bookmarkStart w:id="92" w:name="_Toc462414618"/>
      <w:bookmarkStart w:id="93" w:name="_Toc462414802"/>
      <w:bookmarkStart w:id="94" w:name="_Toc462414117"/>
      <w:bookmarkStart w:id="95" w:name="_Toc462414368"/>
      <w:bookmarkStart w:id="96" w:name="_Toc462414619"/>
      <w:bookmarkStart w:id="97" w:name="_Toc462414803"/>
      <w:bookmarkStart w:id="98" w:name="_Toc462414118"/>
      <w:bookmarkStart w:id="99" w:name="_Toc462414369"/>
      <w:bookmarkStart w:id="100" w:name="_Toc462414620"/>
      <w:bookmarkStart w:id="101" w:name="_Toc462414804"/>
      <w:bookmarkStart w:id="102" w:name="_Toc462414119"/>
      <w:bookmarkStart w:id="103" w:name="_Toc462414370"/>
      <w:bookmarkStart w:id="104" w:name="_Toc462414621"/>
      <w:bookmarkStart w:id="105" w:name="_Toc462414805"/>
      <w:bookmarkStart w:id="106" w:name="_Toc462414120"/>
      <w:bookmarkStart w:id="107" w:name="_Toc462414371"/>
      <w:bookmarkStart w:id="108" w:name="_Toc462414622"/>
      <w:bookmarkStart w:id="109" w:name="_Toc462414806"/>
      <w:bookmarkStart w:id="110" w:name="_Toc462414121"/>
      <w:bookmarkStart w:id="111" w:name="_Toc462414372"/>
      <w:bookmarkStart w:id="112" w:name="_Toc462414623"/>
      <w:bookmarkStart w:id="113" w:name="_Toc462414807"/>
      <w:bookmarkStart w:id="114" w:name="_Toc462414122"/>
      <w:bookmarkStart w:id="115" w:name="_Toc462414373"/>
      <w:bookmarkStart w:id="116" w:name="_Toc462414624"/>
      <w:bookmarkStart w:id="117" w:name="_Toc462414808"/>
      <w:bookmarkStart w:id="118" w:name="_Toc462414123"/>
      <w:bookmarkStart w:id="119" w:name="_Toc462414374"/>
      <w:bookmarkStart w:id="120" w:name="_Toc462414625"/>
      <w:bookmarkStart w:id="121" w:name="_Toc462414809"/>
      <w:bookmarkStart w:id="122" w:name="_Toc462414124"/>
      <w:bookmarkStart w:id="123" w:name="_Toc462414375"/>
      <w:bookmarkStart w:id="124" w:name="_Toc462414626"/>
      <w:bookmarkStart w:id="125" w:name="_Toc462414810"/>
      <w:bookmarkStart w:id="126" w:name="_Toc462414125"/>
      <w:bookmarkStart w:id="127" w:name="_Toc462414376"/>
      <w:bookmarkStart w:id="128" w:name="_Toc462414627"/>
      <w:bookmarkStart w:id="129" w:name="_Toc462414811"/>
      <w:bookmarkStart w:id="130" w:name="_Toc503784928"/>
      <w:bookmarkStart w:id="131" w:name="_Toc50506329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865A47">
        <w:rPr>
          <w:rFonts w:ascii="Rockwell" w:hAnsi="Rockwell"/>
          <w:color w:val="auto"/>
          <w:sz w:val="24"/>
          <w:szCs w:val="24"/>
        </w:rPr>
        <w:t>Exigences minimales en matière de qualité pour les acheteurs</w:t>
      </w:r>
      <w:bookmarkEnd w:id="130"/>
      <w:bookmarkEnd w:id="131"/>
    </w:p>
    <w:p w:rsidR="006C457D" w:rsidRPr="0061020E" w:rsidRDefault="00411D87" w:rsidP="008F6018">
      <w:pPr>
        <w:spacing w:after="120" w:line="240" w:lineRule="auto"/>
        <w:jc w:val="both"/>
        <w:rPr>
          <w:rFonts w:ascii="Rockwell" w:hAnsi="Rockwell"/>
          <w:sz w:val="24"/>
          <w:szCs w:val="24"/>
        </w:rPr>
      </w:pPr>
      <w:r w:rsidRPr="0061020E">
        <w:rPr>
          <w:rFonts w:ascii="Rockwell" w:hAnsi="Rockwell"/>
          <w:sz w:val="24"/>
          <w:szCs w:val="24"/>
        </w:rPr>
        <w:t xml:space="preserve">Pour permettre à l’acheteur de mieux comprendre la finalité de la qualité des produits et services dans l’offre publique, il convient qu’il soit outillé et organisé, pour suivre et exploiter les exigences des différentes normes </w:t>
      </w:r>
      <w:r w:rsidR="006C457D" w:rsidRPr="0061020E">
        <w:rPr>
          <w:rFonts w:ascii="Rockwell" w:hAnsi="Rockwell"/>
          <w:sz w:val="24"/>
          <w:szCs w:val="24"/>
        </w:rPr>
        <w:t>dans la commande publique. Alors</w:t>
      </w:r>
      <w:r w:rsidR="00E52387">
        <w:rPr>
          <w:rFonts w:ascii="Rockwell" w:hAnsi="Rockwell"/>
          <w:sz w:val="24"/>
          <w:szCs w:val="24"/>
        </w:rPr>
        <w:t>,</w:t>
      </w:r>
      <w:r w:rsidR="006C457D" w:rsidRPr="0061020E">
        <w:rPr>
          <w:rFonts w:ascii="Rockwell" w:hAnsi="Rockwell"/>
          <w:sz w:val="24"/>
          <w:szCs w:val="24"/>
        </w:rPr>
        <w:t xml:space="preserve"> il lui sera demandé un minimum d’organisation pour gérer l’aspect qualité.</w:t>
      </w:r>
    </w:p>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 xml:space="preserve">A cet effet, l’acheteur doit avoir mis en œuvre les moyens qui lui sont propres dont l'existence et l'efficacité sont évaluées à partir des exigences applicables de la norme ISO 9001:2008 </w:t>
      </w:r>
      <w:r w:rsidR="008D1CE4" w:rsidRPr="0061020E">
        <w:rPr>
          <w:rFonts w:ascii="Rockwell" w:hAnsi="Rockwell"/>
          <w:sz w:val="24"/>
          <w:szCs w:val="24"/>
        </w:rPr>
        <w:t xml:space="preserve">[6] </w:t>
      </w:r>
      <w:r w:rsidRPr="0061020E">
        <w:rPr>
          <w:rFonts w:ascii="Rockwell" w:hAnsi="Rockwell"/>
          <w:sz w:val="24"/>
          <w:szCs w:val="24"/>
        </w:rPr>
        <w:t>figurant dans le tableau suivant :</w:t>
      </w:r>
    </w:p>
    <w:p w:rsidR="00104BBA" w:rsidRPr="0061020E" w:rsidRDefault="00104BBA" w:rsidP="008F6018">
      <w:pPr>
        <w:spacing w:after="120" w:line="240" w:lineRule="auto"/>
        <w:ind w:left="360"/>
        <w:jc w:val="both"/>
        <w:rPr>
          <w:rFonts w:ascii="Rockwell" w:hAnsi="Rockwell"/>
          <w:sz w:val="24"/>
          <w:szCs w:val="24"/>
        </w:rPr>
      </w:pPr>
    </w:p>
    <w:p w:rsidR="002E4EC9" w:rsidRDefault="002E4EC9" w:rsidP="008F6018">
      <w:pPr>
        <w:spacing w:after="120" w:line="240" w:lineRule="auto"/>
        <w:jc w:val="both"/>
        <w:rPr>
          <w:rFonts w:ascii="Rockwell" w:hAnsi="Rockwell"/>
          <w:b/>
          <w:sz w:val="24"/>
          <w:szCs w:val="24"/>
        </w:rPr>
      </w:pPr>
      <w:r w:rsidRPr="0061020E">
        <w:rPr>
          <w:rFonts w:ascii="Rockwell" w:hAnsi="Rockwell"/>
          <w:b/>
          <w:sz w:val="24"/>
          <w:szCs w:val="24"/>
        </w:rPr>
        <w:t>Exigences minimales en matière de management de la qualité</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252"/>
        <w:gridCol w:w="4678"/>
      </w:tblGrid>
      <w:tr w:rsidR="002E4EC9" w:rsidRPr="006847BA" w:rsidTr="00A275ED">
        <w:trPr>
          <w:trHeight w:val="527"/>
          <w:tblHeader/>
        </w:trPr>
        <w:tc>
          <w:tcPr>
            <w:tcW w:w="1101" w:type="dxa"/>
            <w:vAlign w:val="center"/>
          </w:tcPr>
          <w:p w:rsidR="002E4EC9" w:rsidRPr="0061020E" w:rsidRDefault="002E4EC9" w:rsidP="00A275ED">
            <w:pPr>
              <w:spacing w:after="120" w:line="240" w:lineRule="auto"/>
              <w:jc w:val="center"/>
              <w:rPr>
                <w:rFonts w:ascii="Rockwell" w:hAnsi="Rockwell"/>
                <w:b/>
                <w:sz w:val="24"/>
                <w:szCs w:val="24"/>
              </w:rPr>
            </w:pPr>
            <w:r w:rsidRPr="0061020E">
              <w:rPr>
                <w:rFonts w:ascii="Rockwell" w:hAnsi="Rockwell"/>
                <w:b/>
                <w:sz w:val="24"/>
                <w:szCs w:val="24"/>
              </w:rPr>
              <w:lastRenderedPageBreak/>
              <w:t>§ norme</w:t>
            </w:r>
          </w:p>
        </w:tc>
        <w:tc>
          <w:tcPr>
            <w:tcW w:w="4252" w:type="dxa"/>
            <w:tcMar>
              <w:top w:w="57" w:type="dxa"/>
              <w:left w:w="28" w:type="dxa"/>
              <w:bottom w:w="57" w:type="dxa"/>
              <w:right w:w="28" w:type="dxa"/>
            </w:tcMar>
            <w:vAlign w:val="center"/>
          </w:tcPr>
          <w:p w:rsidR="002E4EC9" w:rsidRPr="0061020E" w:rsidRDefault="002E4EC9" w:rsidP="00A275ED">
            <w:pPr>
              <w:spacing w:after="120" w:line="240" w:lineRule="auto"/>
              <w:jc w:val="center"/>
              <w:rPr>
                <w:rFonts w:ascii="Rockwell" w:hAnsi="Rockwell"/>
                <w:b/>
                <w:sz w:val="24"/>
                <w:szCs w:val="24"/>
              </w:rPr>
            </w:pPr>
            <w:r w:rsidRPr="0061020E">
              <w:rPr>
                <w:rFonts w:ascii="Rockwell" w:hAnsi="Rockwell"/>
                <w:b/>
                <w:sz w:val="24"/>
                <w:szCs w:val="24"/>
              </w:rPr>
              <w:t>Exigence</w:t>
            </w:r>
          </w:p>
        </w:tc>
        <w:tc>
          <w:tcPr>
            <w:tcW w:w="4678" w:type="dxa"/>
            <w:tcMar>
              <w:left w:w="28" w:type="dxa"/>
              <w:right w:w="28" w:type="dxa"/>
            </w:tcMar>
            <w:vAlign w:val="center"/>
          </w:tcPr>
          <w:p w:rsidR="002E4EC9" w:rsidRPr="0061020E" w:rsidRDefault="002E4EC9" w:rsidP="00E52387">
            <w:pPr>
              <w:spacing w:after="120" w:line="240" w:lineRule="auto"/>
              <w:jc w:val="center"/>
              <w:rPr>
                <w:rFonts w:ascii="Rockwell" w:hAnsi="Rockwell"/>
                <w:b/>
                <w:sz w:val="24"/>
                <w:szCs w:val="24"/>
              </w:rPr>
            </w:pPr>
            <w:r w:rsidRPr="0061020E">
              <w:rPr>
                <w:rFonts w:ascii="Rockwell" w:hAnsi="Rockwell"/>
                <w:b/>
                <w:sz w:val="24"/>
                <w:szCs w:val="24"/>
              </w:rPr>
              <w:t xml:space="preserve">Applicable (A) / Non </w:t>
            </w:r>
            <w:r w:rsidR="00E52387">
              <w:rPr>
                <w:rFonts w:ascii="Rockwell" w:hAnsi="Rockwell"/>
                <w:b/>
                <w:sz w:val="24"/>
                <w:szCs w:val="24"/>
              </w:rPr>
              <w:t>a</w:t>
            </w:r>
            <w:r w:rsidRPr="0061020E">
              <w:rPr>
                <w:rFonts w:ascii="Rockwell" w:hAnsi="Rockwell"/>
                <w:b/>
                <w:sz w:val="24"/>
                <w:szCs w:val="24"/>
              </w:rPr>
              <w:t>pplicable (NA)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4.1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Exigences générales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 xml:space="preserve">A : pour les processus de réalisation du produit </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4.2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Exigences relatives à la documentation</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2E4EC9" w:rsidRPr="006847BA" w:rsidTr="00071EB0">
        <w:trPr>
          <w:trHeight w:val="195"/>
        </w:trPr>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Engagement de la direction</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Ecoute client</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Politique qualité</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Planification</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6D5E00">
        <w:trPr>
          <w:trHeight w:val="616"/>
        </w:trPr>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5.5</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Responsabilité, autorité et communication</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r w:rsidR="00E52387">
              <w:rPr>
                <w:rFonts w:ascii="Rockwell" w:hAnsi="Rockwell"/>
                <w:sz w:val="24"/>
                <w:szCs w:val="24"/>
              </w:rPr>
              <w:t>,</w:t>
            </w:r>
            <w:r w:rsidRPr="0061020E">
              <w:rPr>
                <w:rFonts w:ascii="Rockwell" w:hAnsi="Rockwell"/>
                <w:sz w:val="24"/>
                <w:szCs w:val="24"/>
              </w:rPr>
              <w:t xml:space="preserve"> sauf 5.5.3</w:t>
            </w:r>
          </w:p>
        </w:tc>
      </w:tr>
      <w:tr w:rsidR="002E4EC9" w:rsidRPr="006847BA" w:rsidTr="006D5E00">
        <w:trPr>
          <w:trHeight w:val="713"/>
        </w:trPr>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5.6</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Revue de direction</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6.2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Ressources humaines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personnes chargées du contrôle ou ayant un impact direct sur la réalisation du produit</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6.3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Infrastructures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6.4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Environnement du travail</w:t>
            </w:r>
          </w:p>
        </w:tc>
        <w:tc>
          <w:tcPr>
            <w:tcW w:w="4678" w:type="dxa"/>
            <w:tcMar>
              <w:left w:w="28" w:type="dxa"/>
              <w:right w:w="28" w:type="dxa"/>
            </w:tcMar>
            <w:vAlign w:val="center"/>
          </w:tcPr>
          <w:p w:rsidR="002E4EC9" w:rsidRDefault="002E4EC9"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 et les contrôles sur les produits finis</w:t>
            </w:r>
          </w:p>
          <w:p w:rsidR="00C47581" w:rsidRPr="0061020E" w:rsidRDefault="00C47581" w:rsidP="008F6018">
            <w:pPr>
              <w:spacing w:after="120" w:line="240" w:lineRule="auto"/>
              <w:jc w:val="both"/>
              <w:rPr>
                <w:rFonts w:ascii="Rockwell" w:hAnsi="Rockwell"/>
                <w:sz w:val="24"/>
                <w:szCs w:val="24"/>
              </w:rPr>
            </w:pP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Planification de la réalisation du produit</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Processus relatifs aux clients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Conception et développement</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C47581">
        <w:trPr>
          <w:trHeight w:val="280"/>
        </w:trPr>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Achats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7.5</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Production et préparation du service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7.5.1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Maîtrise de la production et de la préparation du service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7.5.2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Validation des processus de production et de préparation du service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7.5.3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Identification et traçabilité</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lastRenderedPageBreak/>
              <w:t>7.5.4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Propriété du client</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7.5.5</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Préservation du produit</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7.6</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Maîtrise des dispositifs de surveillance et de mesure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Surveillance et mesure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8.2.1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Satisfaction du client</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8.2.2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Audit interne</w:t>
            </w:r>
          </w:p>
        </w:tc>
        <w:tc>
          <w:tcPr>
            <w:tcW w:w="4678" w:type="dxa"/>
            <w:tcMar>
              <w:left w:w="28" w:type="dxa"/>
              <w:right w:w="28" w:type="dxa"/>
            </w:tcMar>
            <w:vAlign w:val="center"/>
          </w:tcPr>
          <w:p w:rsidR="00074D5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8.2.3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Surveillance et mesure des processus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8.2.4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Surveillance et mesure du produit</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8.3</w:t>
            </w:r>
          </w:p>
        </w:tc>
        <w:tc>
          <w:tcPr>
            <w:tcW w:w="4252" w:type="dxa"/>
            <w:tcMar>
              <w:top w:w="57" w:type="dxa"/>
              <w:left w:w="28" w:type="dxa"/>
              <w:bottom w:w="57" w:type="dxa"/>
              <w:right w:w="28" w:type="dxa"/>
            </w:tcMar>
            <w:vAlign w:val="center"/>
          </w:tcPr>
          <w:p w:rsidR="006D5E00"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Maîtrise du produit non conforme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071EB0">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8.4</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Analyse des données</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8.5</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Amélioration</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8.5.1</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Amélioration continue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NA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8.5.2</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Action corrective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r w:rsidR="002E4EC9" w:rsidRPr="006847BA" w:rsidTr="00C47581">
        <w:tc>
          <w:tcPr>
            <w:tcW w:w="1101" w:type="dxa"/>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8.5.3</w:t>
            </w:r>
          </w:p>
        </w:tc>
        <w:tc>
          <w:tcPr>
            <w:tcW w:w="4252" w:type="dxa"/>
            <w:tcMar>
              <w:top w:w="57" w:type="dxa"/>
              <w:left w:w="28" w:type="dxa"/>
              <w:bottom w:w="57"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Action préventive</w:t>
            </w:r>
          </w:p>
        </w:tc>
        <w:tc>
          <w:tcPr>
            <w:tcW w:w="4678" w:type="dxa"/>
            <w:tcMar>
              <w:left w:w="28" w:type="dxa"/>
              <w:right w:w="28" w:type="dxa"/>
            </w:tcMar>
            <w:vAlign w:val="center"/>
          </w:tcPr>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A</w:t>
            </w:r>
          </w:p>
        </w:tc>
      </w:tr>
    </w:tbl>
    <w:p w:rsidR="006D5E00" w:rsidRDefault="006D5E00" w:rsidP="008F6018">
      <w:pPr>
        <w:spacing w:after="120" w:line="240" w:lineRule="auto"/>
        <w:jc w:val="both"/>
        <w:rPr>
          <w:rFonts w:ascii="Rockwell" w:hAnsi="Rockwell"/>
          <w:sz w:val="24"/>
          <w:szCs w:val="24"/>
        </w:rPr>
      </w:pPr>
    </w:p>
    <w:p w:rsidR="002E4EC9" w:rsidRPr="0061020E" w:rsidRDefault="002E4EC9" w:rsidP="008F6018">
      <w:pPr>
        <w:spacing w:after="120" w:line="240" w:lineRule="auto"/>
        <w:jc w:val="both"/>
        <w:rPr>
          <w:rFonts w:ascii="Rockwell" w:hAnsi="Rockwell"/>
          <w:sz w:val="24"/>
          <w:szCs w:val="24"/>
        </w:rPr>
      </w:pPr>
      <w:r w:rsidRPr="0061020E">
        <w:rPr>
          <w:rFonts w:ascii="Rockwell" w:hAnsi="Rockwell"/>
          <w:sz w:val="24"/>
          <w:szCs w:val="24"/>
        </w:rPr>
        <w:t>Pour les acheteurs dans certains domaines spécifiques, notamment l’évaluation de la conformité</w:t>
      </w:r>
      <w:r w:rsidR="00A04029" w:rsidRPr="0061020E">
        <w:rPr>
          <w:rFonts w:ascii="Rockwell" w:hAnsi="Rockwell"/>
          <w:sz w:val="24"/>
          <w:szCs w:val="24"/>
        </w:rPr>
        <w:t xml:space="preserve"> (laboratoires)</w:t>
      </w:r>
      <w:r w:rsidRPr="0061020E">
        <w:rPr>
          <w:rFonts w:ascii="Rockwell" w:hAnsi="Rockwell"/>
          <w:sz w:val="24"/>
          <w:szCs w:val="24"/>
        </w:rPr>
        <w:t>, les exigences minimales</w:t>
      </w:r>
      <w:r w:rsidR="00E52387">
        <w:rPr>
          <w:rFonts w:ascii="Rockwell" w:hAnsi="Rockwell"/>
          <w:sz w:val="24"/>
          <w:szCs w:val="24"/>
        </w:rPr>
        <w:t>,</w:t>
      </w:r>
      <w:r w:rsidRPr="0061020E">
        <w:rPr>
          <w:rFonts w:ascii="Rockwell" w:hAnsi="Rockwell"/>
          <w:sz w:val="24"/>
          <w:szCs w:val="24"/>
        </w:rPr>
        <w:t xml:space="preserve"> en termes d’organisation qui leur sont exigées sont basées sur la norme ISO 17025</w:t>
      </w:r>
      <w:r w:rsidR="00D22622">
        <w:rPr>
          <w:rFonts w:ascii="Rockwell" w:hAnsi="Rockwell"/>
          <w:sz w:val="24"/>
          <w:szCs w:val="24"/>
        </w:rPr>
        <w:t xml:space="preserve"> [5]</w:t>
      </w:r>
      <w:r w:rsidRPr="0061020E">
        <w:rPr>
          <w:rFonts w:ascii="Rockwell" w:hAnsi="Rockwell"/>
          <w:sz w:val="24"/>
          <w:szCs w:val="24"/>
        </w:rPr>
        <w:t>. La sy</w:t>
      </w:r>
      <w:r w:rsidR="00071EB0" w:rsidRPr="0061020E">
        <w:rPr>
          <w:rFonts w:ascii="Rockwell" w:hAnsi="Rockwell"/>
          <w:sz w:val="24"/>
          <w:szCs w:val="24"/>
        </w:rPr>
        <w:t>nthèse des chapitres applicable</w:t>
      </w:r>
      <w:r w:rsidRPr="0061020E">
        <w:rPr>
          <w:rFonts w:ascii="Rockwell" w:hAnsi="Rockwell"/>
          <w:sz w:val="24"/>
          <w:szCs w:val="24"/>
        </w:rPr>
        <w:t xml:space="preserve"> </w:t>
      </w:r>
      <w:r w:rsidR="00071EB0" w:rsidRPr="0061020E">
        <w:rPr>
          <w:rFonts w:ascii="Rockwell" w:hAnsi="Rockwell"/>
          <w:sz w:val="24"/>
          <w:szCs w:val="24"/>
        </w:rPr>
        <w:t>est la</w:t>
      </w:r>
      <w:r w:rsidRPr="0061020E">
        <w:rPr>
          <w:rFonts w:ascii="Rockwell" w:hAnsi="Rockwell"/>
          <w:sz w:val="24"/>
          <w:szCs w:val="24"/>
        </w:rPr>
        <w:t xml:space="preserve"> suivante</w:t>
      </w:r>
      <w:r w:rsidR="00071EB0" w:rsidRPr="0061020E">
        <w:rPr>
          <w:rFonts w:ascii="Rockwell" w:hAnsi="Rockwell"/>
          <w:sz w:val="24"/>
          <w:szCs w:val="24"/>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7"/>
        <w:gridCol w:w="5706"/>
        <w:gridCol w:w="2819"/>
      </w:tblGrid>
      <w:tr w:rsidR="00071EB0" w:rsidRPr="006847BA" w:rsidTr="00D80920">
        <w:trPr>
          <w:tblHeader/>
        </w:trPr>
        <w:tc>
          <w:tcPr>
            <w:tcW w:w="0" w:type="auto"/>
            <w:shd w:val="clear" w:color="auto" w:fill="auto"/>
          </w:tcPr>
          <w:p w:rsidR="00071EB0" w:rsidRPr="0061020E" w:rsidRDefault="00071EB0" w:rsidP="00D80920">
            <w:pPr>
              <w:spacing w:after="120" w:line="240" w:lineRule="auto"/>
              <w:jc w:val="center"/>
              <w:rPr>
                <w:rFonts w:ascii="Rockwell" w:hAnsi="Rockwell"/>
                <w:b/>
                <w:sz w:val="24"/>
                <w:szCs w:val="24"/>
              </w:rPr>
            </w:pPr>
            <w:r w:rsidRPr="0061020E">
              <w:rPr>
                <w:rFonts w:ascii="Rockwell" w:hAnsi="Rockwell"/>
                <w:b/>
                <w:sz w:val="24"/>
                <w:szCs w:val="24"/>
              </w:rPr>
              <w:t>§ norme</w:t>
            </w:r>
          </w:p>
        </w:tc>
        <w:tc>
          <w:tcPr>
            <w:tcW w:w="5706" w:type="dxa"/>
            <w:shd w:val="clear" w:color="auto" w:fill="auto"/>
          </w:tcPr>
          <w:p w:rsidR="00071EB0" w:rsidRPr="0061020E" w:rsidRDefault="00071EB0" w:rsidP="00D80920">
            <w:pPr>
              <w:spacing w:after="120" w:line="240" w:lineRule="auto"/>
              <w:jc w:val="center"/>
              <w:rPr>
                <w:rFonts w:ascii="Rockwell" w:hAnsi="Rockwell"/>
                <w:b/>
                <w:sz w:val="24"/>
                <w:szCs w:val="24"/>
              </w:rPr>
            </w:pPr>
            <w:r w:rsidRPr="0061020E">
              <w:rPr>
                <w:rFonts w:ascii="Rockwell" w:hAnsi="Rockwell"/>
                <w:b/>
                <w:sz w:val="24"/>
                <w:szCs w:val="24"/>
              </w:rPr>
              <w:t>Exigence</w:t>
            </w:r>
          </w:p>
        </w:tc>
        <w:tc>
          <w:tcPr>
            <w:tcW w:w="2819" w:type="dxa"/>
            <w:shd w:val="clear" w:color="auto" w:fill="auto"/>
          </w:tcPr>
          <w:p w:rsidR="00071EB0" w:rsidRPr="0061020E" w:rsidRDefault="00071EB0" w:rsidP="00E52387">
            <w:pPr>
              <w:spacing w:after="120" w:line="240" w:lineRule="auto"/>
              <w:jc w:val="center"/>
              <w:rPr>
                <w:rFonts w:ascii="Rockwell" w:hAnsi="Rockwell"/>
                <w:b/>
                <w:sz w:val="24"/>
                <w:szCs w:val="24"/>
              </w:rPr>
            </w:pPr>
            <w:r w:rsidRPr="0061020E">
              <w:rPr>
                <w:rFonts w:ascii="Rockwell" w:hAnsi="Rockwell"/>
                <w:b/>
                <w:sz w:val="24"/>
                <w:szCs w:val="24"/>
              </w:rPr>
              <w:t xml:space="preserve">Applicable (A) / Non </w:t>
            </w:r>
            <w:r w:rsidR="00E52387">
              <w:rPr>
                <w:rFonts w:ascii="Rockwell" w:hAnsi="Rockwell"/>
                <w:b/>
                <w:sz w:val="24"/>
                <w:szCs w:val="24"/>
              </w:rPr>
              <w:t>a</w:t>
            </w:r>
            <w:r w:rsidRPr="0061020E">
              <w:rPr>
                <w:rFonts w:ascii="Rockwell" w:hAnsi="Rockwell"/>
                <w:b/>
                <w:sz w:val="24"/>
                <w:szCs w:val="24"/>
              </w:rPr>
              <w:t>pplicable (NA)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Organisation</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4.2.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Système de management</w:t>
            </w:r>
          </w:p>
          <w:p w:rsidR="00D80920" w:rsidRDefault="00D80920" w:rsidP="008F6018">
            <w:pPr>
              <w:pStyle w:val="Paragraphedeliste"/>
              <w:numPr>
                <w:ilvl w:val="0"/>
                <w:numId w:val="107"/>
              </w:numPr>
              <w:spacing w:after="120" w:line="240" w:lineRule="auto"/>
              <w:jc w:val="both"/>
              <w:rPr>
                <w:rFonts w:ascii="Rockwell" w:hAnsi="Rockwell"/>
                <w:bCs/>
                <w:sz w:val="24"/>
                <w:szCs w:val="24"/>
              </w:rPr>
            </w:pPr>
            <w:r>
              <w:rPr>
                <w:rFonts w:ascii="Rockwell" w:hAnsi="Rockwell"/>
                <w:bCs/>
                <w:sz w:val="24"/>
                <w:szCs w:val="24"/>
              </w:rPr>
              <w:t>manuel qualité</w:t>
            </w:r>
          </w:p>
          <w:p w:rsidR="00D80920" w:rsidRDefault="00071EB0" w:rsidP="008F6018">
            <w:pPr>
              <w:pStyle w:val="Paragraphedeliste"/>
              <w:numPr>
                <w:ilvl w:val="0"/>
                <w:numId w:val="107"/>
              </w:numPr>
              <w:spacing w:after="120" w:line="240" w:lineRule="auto"/>
              <w:jc w:val="both"/>
              <w:rPr>
                <w:rFonts w:ascii="Rockwell" w:hAnsi="Rockwell"/>
                <w:bCs/>
                <w:sz w:val="24"/>
                <w:szCs w:val="24"/>
              </w:rPr>
            </w:pPr>
            <w:r w:rsidRPr="00D80920">
              <w:rPr>
                <w:rFonts w:ascii="Rockwell" w:hAnsi="Rockwell"/>
                <w:bCs/>
                <w:sz w:val="24"/>
                <w:szCs w:val="24"/>
              </w:rPr>
              <w:t xml:space="preserve">politique qualité </w:t>
            </w:r>
          </w:p>
          <w:p w:rsidR="00D80920" w:rsidRDefault="00071EB0" w:rsidP="008F6018">
            <w:pPr>
              <w:pStyle w:val="Paragraphedeliste"/>
              <w:numPr>
                <w:ilvl w:val="0"/>
                <w:numId w:val="107"/>
              </w:numPr>
              <w:spacing w:after="120" w:line="240" w:lineRule="auto"/>
              <w:jc w:val="both"/>
              <w:rPr>
                <w:rFonts w:ascii="Rockwell" w:hAnsi="Rockwell"/>
                <w:bCs/>
                <w:sz w:val="24"/>
                <w:szCs w:val="24"/>
              </w:rPr>
            </w:pPr>
            <w:r w:rsidRPr="00D80920">
              <w:rPr>
                <w:rFonts w:ascii="Rockwell" w:hAnsi="Rockwell"/>
                <w:bCs/>
                <w:sz w:val="24"/>
                <w:szCs w:val="24"/>
              </w:rPr>
              <w:t>système documentaire</w:t>
            </w:r>
          </w:p>
          <w:p w:rsidR="00071EB0" w:rsidRPr="00D80920" w:rsidRDefault="00071EB0" w:rsidP="008F6018">
            <w:pPr>
              <w:pStyle w:val="Paragraphedeliste"/>
              <w:numPr>
                <w:ilvl w:val="0"/>
                <w:numId w:val="107"/>
              </w:numPr>
              <w:spacing w:after="120" w:line="240" w:lineRule="auto"/>
              <w:jc w:val="both"/>
              <w:rPr>
                <w:rFonts w:ascii="Rockwell" w:hAnsi="Rockwell"/>
                <w:bCs/>
                <w:sz w:val="24"/>
                <w:szCs w:val="24"/>
              </w:rPr>
            </w:pPr>
            <w:r w:rsidRPr="00D80920">
              <w:rPr>
                <w:rFonts w:ascii="Rockwell" w:hAnsi="Rockwell"/>
                <w:bCs/>
                <w:sz w:val="24"/>
                <w:szCs w:val="24"/>
              </w:rPr>
              <w:t xml:space="preserve">les rôles et responsabilités des directions qualité et technique </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4.3.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Maîtrise de la documentation</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4.3.1.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Généralités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4.3.2.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Approbation et diffusion de documents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4.3.3.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Modification des documents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lastRenderedPageBreak/>
              <w:t xml:space="preserve">4.4.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Revue des demandes, appels d’offres et contrats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4.5.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Sous-traitance des essais et des étalonnages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NA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4.6.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Achats de services et de fournitures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4.7.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Services au client</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4.8.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Réclamations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4.9.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Maîtrise des travaux d’essai et/ou d’étalonnage non conformes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4.10.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Amélioration</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4.11.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Actions correctives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6847BA" w:rsidTr="00D80920">
        <w:trPr>
          <w:trHeight w:val="371"/>
        </w:trPr>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4.11.1.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Généralités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4.11.4.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Surveillance des actions correctives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4.12.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Actions préventives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4.13.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Maîtrise des enregistrements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4.14.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Audits internes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4.15.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Revues de direction</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5.2.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Personnel</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5.3.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Installations et conditions ambiantes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NA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5.4.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Méthodes d’essai et d’étalonnage et validation des méthodes</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5.4.1.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Généralités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5.4.2.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Sélection des méthodes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5.4.2.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Méthodes normalisées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5.4.3.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Méthodes développées par le laboratoire</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5.4.4.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Méthodes non normalisées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5.4.5.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Validation des méthodes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5.4.6.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Evaluation de l’incertitude de mesure</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5.4.7.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Maîtrise des données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5.5.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Equipement</w:t>
            </w:r>
          </w:p>
        </w:tc>
        <w:tc>
          <w:tcPr>
            <w:tcW w:w="2819"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5.6.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Traçabilité du mesurage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5.6.1.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Généralités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5.6.2</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Exigences spécifiques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5.6.2.1.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Etalonnage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5.6.2.2.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Essais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5.6.3.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Etalons de référence et matériaux de référence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5.7.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Echantillonnage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lastRenderedPageBreak/>
              <w:t xml:space="preserve">5.8.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Manutention des objets d’essai et d’étalonnage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5.9.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Assurer la qualité des résultats d’essai et d’étalonnage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 xml:space="preserve">5.10. </w:t>
            </w:r>
          </w:p>
        </w:tc>
        <w:tc>
          <w:tcPr>
            <w:tcW w:w="5706" w:type="dxa"/>
            <w:shd w:val="clear" w:color="auto" w:fill="auto"/>
          </w:tcPr>
          <w:p w:rsidR="00071EB0" w:rsidRPr="00D22622" w:rsidRDefault="00071EB0" w:rsidP="008F6018">
            <w:pPr>
              <w:spacing w:after="120" w:line="240" w:lineRule="auto"/>
              <w:jc w:val="both"/>
              <w:rPr>
                <w:rFonts w:ascii="Rockwell" w:hAnsi="Rockwell"/>
                <w:bCs/>
                <w:sz w:val="24"/>
                <w:szCs w:val="24"/>
              </w:rPr>
            </w:pPr>
            <w:r w:rsidRPr="00D22622">
              <w:rPr>
                <w:rFonts w:ascii="Rockwell" w:hAnsi="Rockwell"/>
                <w:bCs/>
                <w:sz w:val="24"/>
                <w:szCs w:val="24"/>
              </w:rPr>
              <w:t>Rapport sur les résultats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5.10.2. </w:t>
            </w:r>
          </w:p>
        </w:tc>
        <w:tc>
          <w:tcPr>
            <w:tcW w:w="5706" w:type="dxa"/>
            <w:shd w:val="clear" w:color="auto" w:fill="auto"/>
          </w:tcPr>
          <w:p w:rsidR="00071EB0" w:rsidRPr="00D22622" w:rsidRDefault="00071EB0" w:rsidP="00E52387">
            <w:pPr>
              <w:spacing w:after="120" w:line="240" w:lineRule="auto"/>
              <w:jc w:val="both"/>
              <w:rPr>
                <w:rFonts w:ascii="Rockwell" w:hAnsi="Rockwell"/>
                <w:sz w:val="24"/>
                <w:szCs w:val="24"/>
              </w:rPr>
            </w:pPr>
            <w:r w:rsidRPr="00D22622">
              <w:rPr>
                <w:rFonts w:ascii="Rockwell" w:hAnsi="Rockwell"/>
                <w:sz w:val="24"/>
                <w:szCs w:val="24"/>
              </w:rPr>
              <w:t>Rapports d’essai et certificats d’étalonnage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5.10.4.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Certificats d’étalonnage</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D22622" w:rsidTr="00D80920">
        <w:tc>
          <w:tcPr>
            <w:tcW w:w="0" w:type="auto"/>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 xml:space="preserve">5.10.5.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Avis et interprétations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5.10.6. </w:t>
            </w:r>
          </w:p>
        </w:tc>
        <w:tc>
          <w:tcPr>
            <w:tcW w:w="5706"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sz w:val="24"/>
                <w:szCs w:val="24"/>
              </w:rPr>
              <w:t>Résultats d’essai et d’étalonnage obtenus auprès de sous-traitants</w:t>
            </w:r>
          </w:p>
        </w:tc>
        <w:tc>
          <w:tcPr>
            <w:tcW w:w="2819" w:type="dxa"/>
            <w:shd w:val="clear" w:color="auto" w:fill="auto"/>
          </w:tcPr>
          <w:p w:rsidR="00071EB0" w:rsidRPr="00D22622" w:rsidRDefault="00071EB0" w:rsidP="008F6018">
            <w:pPr>
              <w:spacing w:after="120" w:line="240" w:lineRule="auto"/>
              <w:jc w:val="both"/>
              <w:rPr>
                <w:rFonts w:ascii="Rockwell" w:hAnsi="Rockwell"/>
                <w:sz w:val="24"/>
                <w:szCs w:val="24"/>
              </w:rPr>
            </w:pPr>
            <w:r w:rsidRPr="00D22622">
              <w:rPr>
                <w:rFonts w:ascii="Rockwell" w:hAnsi="Rockwell"/>
                <w:bCs/>
                <w:sz w:val="24"/>
                <w:szCs w:val="24"/>
              </w:rPr>
              <w:t>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5.10.7.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Transmission électronique des résultats</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NA</w:t>
            </w:r>
          </w:p>
        </w:tc>
      </w:tr>
      <w:tr w:rsidR="00071EB0" w:rsidRPr="006847BA" w:rsidTr="00D80920">
        <w:tc>
          <w:tcPr>
            <w:tcW w:w="0" w:type="auto"/>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 xml:space="preserve">5.10.9. </w:t>
            </w:r>
          </w:p>
        </w:tc>
        <w:tc>
          <w:tcPr>
            <w:tcW w:w="5706"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Amendements aux rapports d’essai et aux certificats d’étalonnage</w:t>
            </w:r>
          </w:p>
        </w:tc>
        <w:tc>
          <w:tcPr>
            <w:tcW w:w="2819" w:type="dxa"/>
            <w:shd w:val="clear" w:color="auto" w:fill="auto"/>
          </w:tcPr>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NA</w:t>
            </w:r>
          </w:p>
        </w:tc>
      </w:tr>
    </w:tbl>
    <w:p w:rsidR="00EE6B5F" w:rsidRPr="0061020E" w:rsidRDefault="00EE6B5F" w:rsidP="008F6018">
      <w:pPr>
        <w:pStyle w:val="Paragraphedeliste"/>
        <w:spacing w:after="120" w:line="240" w:lineRule="auto"/>
        <w:ind w:left="1080"/>
        <w:jc w:val="both"/>
        <w:rPr>
          <w:rFonts w:ascii="Rockwell" w:hAnsi="Rockwell"/>
          <w:b/>
          <w:sz w:val="24"/>
          <w:szCs w:val="24"/>
          <w:u w:val="single"/>
        </w:rPr>
      </w:pPr>
    </w:p>
    <w:p w:rsidR="00CC1E1E" w:rsidRPr="00AC4F47" w:rsidRDefault="008C5D22" w:rsidP="008F6018">
      <w:pPr>
        <w:pStyle w:val="Titre2"/>
        <w:numPr>
          <w:ilvl w:val="0"/>
          <w:numId w:val="94"/>
        </w:numPr>
        <w:spacing w:before="0" w:after="120" w:line="240" w:lineRule="auto"/>
        <w:jc w:val="both"/>
        <w:rPr>
          <w:rFonts w:ascii="Rockwell" w:hAnsi="Rockwell"/>
          <w:color w:val="auto"/>
          <w:sz w:val="24"/>
          <w:szCs w:val="24"/>
        </w:rPr>
      </w:pPr>
      <w:bookmarkStart w:id="132" w:name="_Toc503784929"/>
      <w:bookmarkStart w:id="133" w:name="_Toc505063296"/>
      <w:r w:rsidRPr="00AC4F47">
        <w:rPr>
          <w:rFonts w:ascii="Rockwell" w:hAnsi="Rockwell"/>
          <w:color w:val="auto"/>
          <w:sz w:val="24"/>
          <w:szCs w:val="24"/>
        </w:rPr>
        <w:t>Exigences minimales en matière de qualité pour les fournisseurs</w:t>
      </w:r>
      <w:bookmarkEnd w:id="132"/>
      <w:bookmarkEnd w:id="133"/>
    </w:p>
    <w:p w:rsidR="00C9300A" w:rsidRPr="0061020E" w:rsidRDefault="00C9300A" w:rsidP="008F6018">
      <w:pPr>
        <w:spacing w:after="120" w:line="240" w:lineRule="auto"/>
        <w:jc w:val="both"/>
        <w:rPr>
          <w:rFonts w:ascii="Rockwell" w:hAnsi="Rockwell"/>
          <w:sz w:val="24"/>
          <w:szCs w:val="24"/>
        </w:rPr>
      </w:pPr>
      <w:r w:rsidRPr="0061020E">
        <w:rPr>
          <w:rFonts w:ascii="Rockwell" w:hAnsi="Rockwell"/>
          <w:sz w:val="24"/>
          <w:szCs w:val="24"/>
        </w:rPr>
        <w:t>Les fournisseurs doivent s’engager à fournir des produits et services de qualité conformes aux exigences légales et r</w:t>
      </w:r>
      <w:r w:rsidR="00E52387">
        <w:rPr>
          <w:rFonts w:ascii="Rockwell" w:hAnsi="Rockwell"/>
          <w:sz w:val="24"/>
          <w:szCs w:val="24"/>
        </w:rPr>
        <w:t>é</w:t>
      </w:r>
      <w:r w:rsidRPr="0061020E">
        <w:rPr>
          <w:rFonts w:ascii="Rockwell" w:hAnsi="Rockwell"/>
          <w:sz w:val="24"/>
          <w:szCs w:val="24"/>
        </w:rPr>
        <w:t xml:space="preserve">glementaires </w:t>
      </w:r>
      <w:r w:rsidR="00E52387">
        <w:rPr>
          <w:rFonts w:ascii="Rockwell" w:hAnsi="Rockwell"/>
          <w:sz w:val="24"/>
          <w:szCs w:val="24"/>
        </w:rPr>
        <w:t>du Burkina Faso, le cas échéant</w:t>
      </w:r>
      <w:r w:rsidR="009C1094">
        <w:rPr>
          <w:rFonts w:ascii="Rockwell" w:hAnsi="Rockwell"/>
          <w:sz w:val="24"/>
          <w:szCs w:val="24"/>
        </w:rPr>
        <w:t>,</w:t>
      </w:r>
      <w:r w:rsidRPr="0061020E">
        <w:rPr>
          <w:rFonts w:ascii="Rockwell" w:hAnsi="Rockwell"/>
          <w:sz w:val="24"/>
          <w:szCs w:val="24"/>
        </w:rPr>
        <w:t xml:space="preserve"> conformes aux exigences des  normes internationales applicables au produit et</w:t>
      </w:r>
      <w:r w:rsidR="00CC1E1E" w:rsidRPr="0061020E">
        <w:rPr>
          <w:rFonts w:ascii="Rockwell" w:hAnsi="Rockwell"/>
          <w:sz w:val="24"/>
          <w:szCs w:val="24"/>
        </w:rPr>
        <w:t>/</w:t>
      </w:r>
      <w:r w:rsidRPr="0061020E">
        <w:rPr>
          <w:rFonts w:ascii="Rockwell" w:hAnsi="Rockwell"/>
          <w:sz w:val="24"/>
          <w:szCs w:val="24"/>
        </w:rPr>
        <w:t xml:space="preserve">ou service commandé. </w:t>
      </w:r>
    </w:p>
    <w:p w:rsidR="00104BBA" w:rsidRPr="0061020E" w:rsidRDefault="00104BBA" w:rsidP="008F6018">
      <w:pPr>
        <w:spacing w:after="120" w:line="240" w:lineRule="auto"/>
        <w:ind w:left="360"/>
        <w:jc w:val="both"/>
        <w:rPr>
          <w:rFonts w:ascii="Rockwell" w:hAnsi="Rockwell"/>
          <w:sz w:val="24"/>
          <w:szCs w:val="24"/>
        </w:rPr>
      </w:pPr>
    </w:p>
    <w:p w:rsidR="00517FC1" w:rsidRPr="0061020E" w:rsidRDefault="00517FC1" w:rsidP="008F6018">
      <w:pPr>
        <w:pStyle w:val="Paragraphedeliste"/>
        <w:numPr>
          <w:ilvl w:val="0"/>
          <w:numId w:val="47"/>
        </w:numPr>
        <w:spacing w:after="120" w:line="240" w:lineRule="auto"/>
        <w:jc w:val="both"/>
        <w:rPr>
          <w:rFonts w:ascii="Rockwell" w:hAnsi="Rockwell"/>
          <w:b/>
          <w:sz w:val="24"/>
          <w:szCs w:val="24"/>
        </w:rPr>
      </w:pPr>
      <w:r w:rsidRPr="0061020E">
        <w:rPr>
          <w:rFonts w:ascii="Rockwell" w:hAnsi="Rockwell"/>
          <w:b/>
          <w:sz w:val="24"/>
          <w:szCs w:val="24"/>
        </w:rPr>
        <w:t>Exigences en matière de certification</w:t>
      </w:r>
    </w:p>
    <w:p w:rsidR="00071EB0" w:rsidRPr="0061020E" w:rsidRDefault="00071EB0" w:rsidP="008F6018">
      <w:pPr>
        <w:spacing w:after="120" w:line="240" w:lineRule="auto"/>
        <w:jc w:val="both"/>
        <w:rPr>
          <w:rFonts w:ascii="Rockwell" w:hAnsi="Rockwell"/>
          <w:sz w:val="24"/>
          <w:szCs w:val="24"/>
        </w:rPr>
      </w:pPr>
      <w:r w:rsidRPr="00D22622">
        <w:rPr>
          <w:rFonts w:ascii="Rockwell" w:hAnsi="Rockwell"/>
          <w:sz w:val="24"/>
          <w:szCs w:val="24"/>
          <w:highlight w:val="lightGray"/>
        </w:rPr>
        <w:t>Dans le cadre de l’achat public pour lequel les produits font l’objet de la certification au Burkina Faso, le certificat national de conformité aux normes (NBF) délivré par l’ABNORM est une conditionnalité  pour participer à l’appel d’offre</w:t>
      </w:r>
      <w:r w:rsidR="00CC1E1E" w:rsidRPr="00D22622">
        <w:rPr>
          <w:rFonts w:ascii="Rockwell" w:hAnsi="Rockwell"/>
          <w:sz w:val="24"/>
          <w:szCs w:val="24"/>
          <w:highlight w:val="lightGray"/>
        </w:rPr>
        <w:t>s</w:t>
      </w:r>
      <w:r w:rsidRPr="00D22622">
        <w:rPr>
          <w:rFonts w:ascii="Rockwell" w:hAnsi="Rockwell"/>
          <w:sz w:val="24"/>
          <w:szCs w:val="24"/>
          <w:highlight w:val="lightGray"/>
        </w:rPr>
        <w:t>.</w:t>
      </w:r>
    </w:p>
    <w:p w:rsidR="00071EB0" w:rsidRPr="0061020E" w:rsidRDefault="00071EB0" w:rsidP="008F6018">
      <w:pPr>
        <w:spacing w:after="120" w:line="240" w:lineRule="auto"/>
        <w:jc w:val="both"/>
        <w:rPr>
          <w:rFonts w:ascii="Rockwell" w:hAnsi="Rockwell"/>
          <w:sz w:val="24"/>
          <w:szCs w:val="24"/>
        </w:rPr>
      </w:pPr>
      <w:r w:rsidRPr="0061020E">
        <w:rPr>
          <w:rFonts w:ascii="Rockwell" w:hAnsi="Rockwell"/>
          <w:sz w:val="24"/>
          <w:szCs w:val="24"/>
        </w:rPr>
        <w:t>A cet effet, tous les postulants dont l’offre ne prend</w:t>
      </w:r>
      <w:r w:rsidR="00E52387">
        <w:rPr>
          <w:rFonts w:ascii="Rockwell" w:hAnsi="Rockwell"/>
          <w:sz w:val="24"/>
          <w:szCs w:val="24"/>
        </w:rPr>
        <w:t xml:space="preserve"> pas en compte la certification, </w:t>
      </w:r>
      <w:r w:rsidRPr="0061020E">
        <w:rPr>
          <w:rFonts w:ascii="Rockwell" w:hAnsi="Rockwell"/>
          <w:sz w:val="24"/>
          <w:szCs w:val="24"/>
        </w:rPr>
        <w:t>ne pourraient concourir.</w:t>
      </w:r>
    </w:p>
    <w:p w:rsidR="00104BBA" w:rsidRPr="0061020E" w:rsidRDefault="00104BBA" w:rsidP="00AC4F47">
      <w:pPr>
        <w:spacing w:after="120" w:line="240" w:lineRule="auto"/>
        <w:jc w:val="both"/>
        <w:rPr>
          <w:rFonts w:ascii="Rockwell" w:hAnsi="Rockwell"/>
          <w:sz w:val="24"/>
          <w:szCs w:val="24"/>
        </w:rPr>
      </w:pPr>
    </w:p>
    <w:p w:rsidR="00517FC1" w:rsidRPr="0061020E" w:rsidRDefault="00517FC1" w:rsidP="008F6018">
      <w:pPr>
        <w:pStyle w:val="Paragraphedeliste"/>
        <w:numPr>
          <w:ilvl w:val="0"/>
          <w:numId w:val="47"/>
        </w:numPr>
        <w:spacing w:after="120" w:line="240" w:lineRule="auto"/>
        <w:jc w:val="both"/>
        <w:rPr>
          <w:rFonts w:ascii="Rockwell" w:hAnsi="Rockwell"/>
          <w:b/>
          <w:sz w:val="24"/>
          <w:szCs w:val="24"/>
        </w:rPr>
      </w:pPr>
      <w:r w:rsidRPr="0061020E">
        <w:rPr>
          <w:rFonts w:ascii="Rockwell" w:hAnsi="Rockwell"/>
          <w:b/>
          <w:sz w:val="24"/>
          <w:szCs w:val="24"/>
        </w:rPr>
        <w:t>Exigences en matière de système de management de la qualité</w:t>
      </w:r>
    </w:p>
    <w:p w:rsidR="002A2BF7"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L</w:t>
      </w:r>
      <w:r w:rsidR="00C9300A" w:rsidRPr="0061020E">
        <w:rPr>
          <w:rFonts w:ascii="Rockwell" w:hAnsi="Rockwell"/>
          <w:sz w:val="24"/>
          <w:szCs w:val="24"/>
        </w:rPr>
        <w:t xml:space="preserve">es fournisseurs seront sélectionnés sur la base minimale du référentiel de gestion d’un Système de </w:t>
      </w:r>
      <w:r w:rsidR="00E52387">
        <w:rPr>
          <w:rFonts w:ascii="Rockwell" w:hAnsi="Rockwell"/>
          <w:sz w:val="24"/>
          <w:szCs w:val="24"/>
        </w:rPr>
        <w:t>m</w:t>
      </w:r>
      <w:r w:rsidR="00C9300A" w:rsidRPr="0061020E">
        <w:rPr>
          <w:rFonts w:ascii="Rockwell" w:hAnsi="Rockwell"/>
          <w:sz w:val="24"/>
          <w:szCs w:val="24"/>
        </w:rPr>
        <w:t xml:space="preserve">anagement de la </w:t>
      </w:r>
      <w:r w:rsidR="00E52387">
        <w:rPr>
          <w:rFonts w:ascii="Rockwell" w:hAnsi="Rockwell"/>
          <w:sz w:val="24"/>
          <w:szCs w:val="24"/>
        </w:rPr>
        <w:t>q</w:t>
      </w:r>
      <w:r w:rsidR="00C9300A" w:rsidRPr="0061020E">
        <w:rPr>
          <w:rFonts w:ascii="Rockwell" w:hAnsi="Rockwell"/>
          <w:sz w:val="24"/>
          <w:szCs w:val="24"/>
        </w:rPr>
        <w:t xml:space="preserve">ualité (SMQ) </w:t>
      </w:r>
      <w:r w:rsidR="00192ACB" w:rsidRPr="0061020E">
        <w:rPr>
          <w:rFonts w:ascii="Rockwell" w:hAnsi="Rockwell"/>
          <w:sz w:val="24"/>
          <w:szCs w:val="24"/>
        </w:rPr>
        <w:t xml:space="preserve">basé sur la norme ISO 9001 :2008 </w:t>
      </w:r>
      <w:r w:rsidR="008D1CE4" w:rsidRPr="0061020E">
        <w:rPr>
          <w:rFonts w:ascii="Rockwell" w:hAnsi="Rockwell"/>
          <w:sz w:val="24"/>
          <w:szCs w:val="24"/>
        </w:rPr>
        <w:t xml:space="preserve">[6] </w:t>
      </w:r>
      <w:r w:rsidR="00C9300A" w:rsidRPr="0061020E">
        <w:rPr>
          <w:rFonts w:ascii="Rockwell" w:hAnsi="Rockwell"/>
          <w:sz w:val="24"/>
          <w:szCs w:val="24"/>
        </w:rPr>
        <w:t xml:space="preserve">faisant la preuve que l’organisme est orienté </w:t>
      </w:r>
      <w:r w:rsidR="00F86164">
        <w:rPr>
          <w:rFonts w:ascii="Rockwell" w:hAnsi="Rockwell"/>
          <w:sz w:val="24"/>
          <w:szCs w:val="24"/>
        </w:rPr>
        <w:t xml:space="preserve">vers la </w:t>
      </w:r>
      <w:r w:rsidR="00C9300A" w:rsidRPr="0061020E">
        <w:rPr>
          <w:rFonts w:ascii="Rockwell" w:hAnsi="Rockwell"/>
          <w:sz w:val="24"/>
          <w:szCs w:val="24"/>
        </w:rPr>
        <w:t>satisfaction client</w:t>
      </w:r>
      <w:r w:rsidR="001922F2" w:rsidRPr="0061020E">
        <w:rPr>
          <w:rFonts w:ascii="Rockwell" w:hAnsi="Rockwell"/>
          <w:sz w:val="24"/>
          <w:szCs w:val="24"/>
        </w:rPr>
        <w:t>.</w:t>
      </w:r>
      <w:r w:rsidR="00C9300A" w:rsidRPr="0061020E">
        <w:rPr>
          <w:rFonts w:ascii="Rockwell" w:hAnsi="Rockwell"/>
          <w:sz w:val="24"/>
          <w:szCs w:val="24"/>
        </w:rPr>
        <w:t xml:space="preserve"> </w:t>
      </w:r>
    </w:p>
    <w:p w:rsidR="00517FC1" w:rsidRDefault="00517FC1" w:rsidP="008F6018">
      <w:pPr>
        <w:spacing w:after="120" w:line="240" w:lineRule="auto"/>
        <w:jc w:val="both"/>
        <w:rPr>
          <w:rFonts w:ascii="Rockwell" w:hAnsi="Rockwell"/>
          <w:sz w:val="24"/>
          <w:szCs w:val="24"/>
        </w:rPr>
      </w:pPr>
      <w:r w:rsidRPr="0061020E">
        <w:rPr>
          <w:rFonts w:ascii="Rockwell" w:hAnsi="Rockwell"/>
          <w:sz w:val="24"/>
          <w:szCs w:val="24"/>
        </w:rPr>
        <w:t>A cet effet, les exigences suivantes</w:t>
      </w:r>
      <w:r w:rsidR="00F86164">
        <w:rPr>
          <w:rFonts w:ascii="Rockwell" w:hAnsi="Rockwell"/>
          <w:sz w:val="24"/>
          <w:szCs w:val="24"/>
        </w:rPr>
        <w:t>,</w:t>
      </w:r>
      <w:r w:rsidRPr="0061020E">
        <w:rPr>
          <w:rFonts w:ascii="Rockwell" w:hAnsi="Rockwell"/>
          <w:sz w:val="24"/>
          <w:szCs w:val="24"/>
        </w:rPr>
        <w:t xml:space="preserve"> sont applicables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252"/>
        <w:gridCol w:w="4678"/>
      </w:tblGrid>
      <w:tr w:rsidR="00517FC1" w:rsidRPr="006847BA" w:rsidTr="000827FD">
        <w:trPr>
          <w:tblHeader/>
        </w:trPr>
        <w:tc>
          <w:tcPr>
            <w:tcW w:w="1101" w:type="dxa"/>
            <w:vAlign w:val="center"/>
          </w:tcPr>
          <w:p w:rsidR="00517FC1" w:rsidRPr="0061020E" w:rsidRDefault="00517FC1" w:rsidP="00AC4F47">
            <w:pPr>
              <w:spacing w:after="120" w:line="240" w:lineRule="auto"/>
              <w:jc w:val="center"/>
              <w:rPr>
                <w:rFonts w:ascii="Rockwell" w:hAnsi="Rockwell"/>
                <w:b/>
                <w:sz w:val="24"/>
                <w:szCs w:val="24"/>
              </w:rPr>
            </w:pPr>
            <w:r w:rsidRPr="0061020E">
              <w:rPr>
                <w:rFonts w:ascii="Rockwell" w:hAnsi="Rockwell"/>
                <w:b/>
                <w:sz w:val="24"/>
                <w:szCs w:val="24"/>
              </w:rPr>
              <w:t>§ norme</w:t>
            </w:r>
          </w:p>
        </w:tc>
        <w:tc>
          <w:tcPr>
            <w:tcW w:w="4252" w:type="dxa"/>
            <w:tcMar>
              <w:top w:w="57" w:type="dxa"/>
              <w:left w:w="28" w:type="dxa"/>
              <w:bottom w:w="57" w:type="dxa"/>
              <w:right w:w="28" w:type="dxa"/>
            </w:tcMar>
            <w:vAlign w:val="center"/>
          </w:tcPr>
          <w:p w:rsidR="00517FC1" w:rsidRPr="0061020E" w:rsidRDefault="00517FC1" w:rsidP="00AC4F47">
            <w:pPr>
              <w:spacing w:after="120" w:line="240" w:lineRule="auto"/>
              <w:jc w:val="center"/>
              <w:rPr>
                <w:rFonts w:ascii="Rockwell" w:hAnsi="Rockwell"/>
                <w:b/>
                <w:sz w:val="24"/>
                <w:szCs w:val="24"/>
              </w:rPr>
            </w:pPr>
            <w:r w:rsidRPr="0061020E">
              <w:rPr>
                <w:rFonts w:ascii="Rockwell" w:hAnsi="Rockwell"/>
                <w:b/>
                <w:sz w:val="24"/>
                <w:szCs w:val="24"/>
              </w:rPr>
              <w:t>Exigence</w:t>
            </w:r>
          </w:p>
        </w:tc>
        <w:tc>
          <w:tcPr>
            <w:tcW w:w="4678" w:type="dxa"/>
            <w:tcMar>
              <w:left w:w="28" w:type="dxa"/>
              <w:right w:w="28" w:type="dxa"/>
            </w:tcMar>
            <w:vAlign w:val="center"/>
          </w:tcPr>
          <w:p w:rsidR="00517FC1" w:rsidRPr="0061020E" w:rsidRDefault="00517FC1" w:rsidP="00F86164">
            <w:pPr>
              <w:spacing w:after="120" w:line="240" w:lineRule="auto"/>
              <w:jc w:val="center"/>
              <w:rPr>
                <w:rFonts w:ascii="Rockwell" w:hAnsi="Rockwell"/>
                <w:b/>
                <w:sz w:val="24"/>
                <w:szCs w:val="24"/>
              </w:rPr>
            </w:pPr>
            <w:r w:rsidRPr="0061020E">
              <w:rPr>
                <w:rFonts w:ascii="Rockwell" w:hAnsi="Rockwell"/>
                <w:b/>
                <w:sz w:val="24"/>
                <w:szCs w:val="24"/>
              </w:rPr>
              <w:t xml:space="preserve">Applicable (A) / Non </w:t>
            </w:r>
            <w:r w:rsidR="00F86164">
              <w:rPr>
                <w:rFonts w:ascii="Rockwell" w:hAnsi="Rockwell"/>
                <w:b/>
                <w:sz w:val="24"/>
                <w:szCs w:val="24"/>
              </w:rPr>
              <w:t>a</w:t>
            </w:r>
            <w:r w:rsidRPr="0061020E">
              <w:rPr>
                <w:rFonts w:ascii="Rockwell" w:hAnsi="Rockwell"/>
                <w:b/>
                <w:sz w:val="24"/>
                <w:szCs w:val="24"/>
              </w:rPr>
              <w:t>pplicable (NA)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4.1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Exigences générales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 xml:space="preserve">A : pour les processus de réalisation du produit </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4.2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Exigences relatives à la documentation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517FC1" w:rsidRPr="006847BA" w:rsidTr="009965AA">
        <w:trPr>
          <w:trHeight w:val="195"/>
        </w:trPr>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5.1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Engagement de la direction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lastRenderedPageBreak/>
              <w:t>5.2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Ecoute client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5.3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Politique qualité</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5.4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Planification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5.5</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Responsabilité, autorité et communication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r w:rsidR="00F86164">
              <w:rPr>
                <w:rFonts w:ascii="Rockwell" w:hAnsi="Rockwell"/>
                <w:sz w:val="24"/>
                <w:szCs w:val="24"/>
              </w:rPr>
              <w:t>,</w:t>
            </w:r>
            <w:r w:rsidRPr="0061020E">
              <w:rPr>
                <w:rFonts w:ascii="Rockwell" w:hAnsi="Rockwell"/>
                <w:sz w:val="24"/>
                <w:szCs w:val="24"/>
              </w:rPr>
              <w:t xml:space="preserve"> sauf 5.5.3</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5.6</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Revue de direction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6.2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Ressources humaines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personnes chargées du contrôle ou ayant un impact direct sur la réalisation du produit</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6.3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Infrastructures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6.4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Environnement du travail</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 : pour les processus de réalisation du produit et les contrôles sur les produits finis</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Planification de la réalisation du produit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Processus relatifs aux clients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Conception et développement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0545B4">
        <w:trPr>
          <w:trHeight w:val="280"/>
        </w:trPr>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Achats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Production et préparation du service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Maîtrise de la production et de la préparation du service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Validation des processus de production et de préparation du service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Identification et traçabilité</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Propriété du client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7.5.5</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Préservation du produit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7.6</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Maîtrise des dispositifs de surveillance et de mesure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Surveillance et mesure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lastRenderedPageBreak/>
              <w:t>8.2.1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Satisfaction du client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8.2.2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Audit interne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8.2.3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Surveillance et mesure des processus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8.2.4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Surveillance et mesure du produit</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Maîtrise du produit non conforme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9965AA">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8.4</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Analyse des données</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8.5</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Amélioration</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8.5.1</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Amélioration continue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NA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8.5.2</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Action corrective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r w:rsidR="00517FC1" w:rsidRPr="006847BA" w:rsidTr="000545B4">
        <w:tc>
          <w:tcPr>
            <w:tcW w:w="1101" w:type="dxa"/>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8.5.3</w:t>
            </w:r>
          </w:p>
        </w:tc>
        <w:tc>
          <w:tcPr>
            <w:tcW w:w="4252" w:type="dxa"/>
            <w:tcMar>
              <w:top w:w="57" w:type="dxa"/>
              <w:left w:w="28" w:type="dxa"/>
              <w:bottom w:w="57"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Action préventive</w:t>
            </w:r>
          </w:p>
        </w:tc>
        <w:tc>
          <w:tcPr>
            <w:tcW w:w="4678" w:type="dxa"/>
            <w:tcMar>
              <w:left w:w="28" w:type="dxa"/>
              <w:right w:w="28" w:type="dxa"/>
            </w:tcMar>
            <w:vAlign w:val="center"/>
          </w:tcPr>
          <w:p w:rsidR="00517FC1"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A</w:t>
            </w:r>
          </w:p>
        </w:tc>
      </w:tr>
    </w:tbl>
    <w:p w:rsidR="00517FC1" w:rsidRPr="0061020E" w:rsidRDefault="00517FC1" w:rsidP="008F6018">
      <w:pPr>
        <w:spacing w:after="120" w:line="240" w:lineRule="auto"/>
        <w:ind w:left="360"/>
        <w:jc w:val="both"/>
        <w:rPr>
          <w:rFonts w:ascii="Rockwell" w:hAnsi="Rockwell"/>
          <w:sz w:val="24"/>
          <w:szCs w:val="24"/>
        </w:rPr>
      </w:pPr>
    </w:p>
    <w:p w:rsidR="003B7ABB" w:rsidRPr="0061020E" w:rsidRDefault="00517FC1" w:rsidP="008F6018">
      <w:pPr>
        <w:spacing w:after="120" w:line="240" w:lineRule="auto"/>
        <w:jc w:val="both"/>
        <w:rPr>
          <w:rFonts w:ascii="Rockwell" w:hAnsi="Rockwell"/>
          <w:sz w:val="24"/>
          <w:szCs w:val="24"/>
        </w:rPr>
      </w:pPr>
      <w:r w:rsidRPr="0061020E">
        <w:rPr>
          <w:rFonts w:ascii="Rockwell" w:hAnsi="Rockwell"/>
          <w:sz w:val="24"/>
          <w:szCs w:val="24"/>
        </w:rPr>
        <w:t>Il n’est nullement</w:t>
      </w:r>
      <w:r w:rsidR="00F86164">
        <w:rPr>
          <w:rFonts w:ascii="Rockwell" w:hAnsi="Rockwell"/>
          <w:sz w:val="24"/>
          <w:szCs w:val="24"/>
        </w:rPr>
        <w:t>,</w:t>
      </w:r>
      <w:r w:rsidRPr="0061020E">
        <w:rPr>
          <w:rFonts w:ascii="Rockwell" w:hAnsi="Rockwell"/>
          <w:sz w:val="24"/>
          <w:szCs w:val="24"/>
        </w:rPr>
        <w:t xml:space="preserve"> demandé au fournisseur d’être certifié</w:t>
      </w:r>
      <w:r w:rsidR="00F86164">
        <w:rPr>
          <w:rFonts w:ascii="Rockwell" w:hAnsi="Rockwell"/>
          <w:sz w:val="24"/>
          <w:szCs w:val="24"/>
        </w:rPr>
        <w:t>,</w:t>
      </w:r>
      <w:r w:rsidRPr="0061020E">
        <w:rPr>
          <w:rFonts w:ascii="Rockwell" w:hAnsi="Rockwell"/>
          <w:sz w:val="24"/>
          <w:szCs w:val="24"/>
        </w:rPr>
        <w:t xml:space="preserve"> mais d’apporter la preuve de la satisfaction des exigences ci-dessus</w:t>
      </w:r>
      <w:r w:rsidR="00F86164">
        <w:rPr>
          <w:rFonts w:ascii="Rockwell" w:hAnsi="Rockwell"/>
          <w:sz w:val="24"/>
          <w:szCs w:val="24"/>
        </w:rPr>
        <w:t>,</w:t>
      </w:r>
      <w:r w:rsidRPr="0061020E">
        <w:rPr>
          <w:rFonts w:ascii="Rockwell" w:hAnsi="Rockwell"/>
          <w:sz w:val="24"/>
          <w:szCs w:val="24"/>
        </w:rPr>
        <w:t xml:space="preserve"> citées</w:t>
      </w:r>
      <w:r w:rsidR="00145264">
        <w:rPr>
          <w:rFonts w:ascii="Rockwell" w:hAnsi="Rockwell"/>
          <w:sz w:val="24"/>
          <w:szCs w:val="24"/>
        </w:rPr>
        <w:t>.</w:t>
      </w:r>
    </w:p>
    <w:p w:rsidR="008C5D22" w:rsidRPr="0061020E" w:rsidRDefault="008C5D22" w:rsidP="008F6018">
      <w:pPr>
        <w:spacing w:after="120" w:line="240" w:lineRule="auto"/>
        <w:jc w:val="both"/>
        <w:rPr>
          <w:rFonts w:ascii="Rockwell" w:hAnsi="Rockwell"/>
          <w:b/>
          <w:sz w:val="24"/>
          <w:szCs w:val="24"/>
          <w:lang w:val="fr-CA"/>
        </w:rPr>
      </w:pPr>
    </w:p>
    <w:p w:rsidR="008C5D22" w:rsidRPr="0061020E" w:rsidRDefault="008C5D22" w:rsidP="008F6018">
      <w:pPr>
        <w:spacing w:after="120" w:line="240" w:lineRule="auto"/>
        <w:jc w:val="both"/>
        <w:rPr>
          <w:rFonts w:ascii="Rockwell" w:hAnsi="Rockwell"/>
          <w:b/>
          <w:sz w:val="24"/>
          <w:szCs w:val="24"/>
          <w:lang w:val="fr-CA"/>
        </w:rPr>
      </w:pPr>
    </w:p>
    <w:p w:rsidR="008C5D22" w:rsidRPr="0061020E" w:rsidRDefault="008C5D22" w:rsidP="008F6018">
      <w:pPr>
        <w:spacing w:after="120" w:line="240" w:lineRule="auto"/>
        <w:jc w:val="both"/>
        <w:rPr>
          <w:rFonts w:ascii="Rockwell" w:hAnsi="Rockwell"/>
          <w:b/>
          <w:sz w:val="24"/>
          <w:szCs w:val="24"/>
          <w:lang w:val="fr-CA"/>
        </w:rPr>
      </w:pPr>
    </w:p>
    <w:p w:rsidR="008C5D22" w:rsidRPr="0061020E" w:rsidRDefault="008C5D22" w:rsidP="008F6018">
      <w:pPr>
        <w:spacing w:after="120" w:line="240" w:lineRule="auto"/>
        <w:jc w:val="both"/>
        <w:rPr>
          <w:rFonts w:ascii="Rockwell" w:hAnsi="Rockwell"/>
          <w:b/>
          <w:sz w:val="24"/>
          <w:szCs w:val="24"/>
          <w:lang w:val="fr-CA"/>
        </w:rPr>
      </w:pPr>
    </w:p>
    <w:p w:rsidR="008C5D22" w:rsidRPr="0061020E" w:rsidRDefault="008C5D22" w:rsidP="008F6018">
      <w:pPr>
        <w:spacing w:after="120" w:line="240" w:lineRule="auto"/>
        <w:jc w:val="both"/>
        <w:rPr>
          <w:rFonts w:ascii="Rockwell" w:hAnsi="Rockwell"/>
          <w:b/>
          <w:sz w:val="24"/>
          <w:szCs w:val="24"/>
          <w:lang w:val="fr-CA"/>
        </w:rPr>
      </w:pPr>
    </w:p>
    <w:p w:rsidR="008C7F3C" w:rsidRPr="0061020E" w:rsidRDefault="009C3EE4" w:rsidP="000545B4">
      <w:pPr>
        <w:pStyle w:val="Titre1"/>
        <w:spacing w:after="120"/>
        <w:jc w:val="both"/>
        <w:rPr>
          <w:rFonts w:ascii="Rockwell" w:hAnsi="Rockwell"/>
        </w:rPr>
      </w:pPr>
      <w:bookmarkStart w:id="134" w:name="_Toc503784930"/>
      <w:bookmarkStart w:id="135" w:name="_Toc505063297"/>
      <w:r w:rsidRPr="0061020E">
        <w:rPr>
          <w:rFonts w:ascii="Rockwell" w:hAnsi="Rockwell"/>
        </w:rPr>
        <w:t>IV</w:t>
      </w:r>
      <w:r w:rsidR="005F2BF2" w:rsidRPr="0061020E">
        <w:rPr>
          <w:rFonts w:ascii="Rockwell" w:hAnsi="Rockwell"/>
        </w:rPr>
        <w:t>ème PARTIE </w:t>
      </w:r>
      <w:r w:rsidR="000545B4">
        <w:rPr>
          <w:rFonts w:ascii="Rockwell" w:hAnsi="Rockwell"/>
        </w:rPr>
        <w:t xml:space="preserve">- </w:t>
      </w:r>
      <w:r w:rsidR="008C7F3C" w:rsidRPr="0061020E">
        <w:rPr>
          <w:rFonts w:ascii="Rockwell" w:hAnsi="Rockwell"/>
        </w:rPr>
        <w:t>EXIGENCES NORMATIVES POUR LES PRODUITS DANS LE CADRE DES ACHATS PUBLICS</w:t>
      </w:r>
      <w:r w:rsidR="00F86164">
        <w:rPr>
          <w:rFonts w:ascii="Rockwell" w:hAnsi="Rockwell"/>
        </w:rPr>
        <w:t>,</w:t>
      </w:r>
      <w:r w:rsidR="008C7F3C" w:rsidRPr="0061020E">
        <w:rPr>
          <w:rFonts w:ascii="Rockwell" w:hAnsi="Rockwell"/>
        </w:rPr>
        <w:t xml:space="preserve"> PAR SECTEUR AU BURKINA FASO</w:t>
      </w:r>
      <w:bookmarkEnd w:id="134"/>
      <w:bookmarkEnd w:id="135"/>
    </w:p>
    <w:p w:rsidR="009517A0" w:rsidRPr="0061020E" w:rsidRDefault="009517A0" w:rsidP="008F6018">
      <w:pPr>
        <w:spacing w:after="120" w:line="240" w:lineRule="auto"/>
        <w:jc w:val="both"/>
        <w:rPr>
          <w:rFonts w:ascii="Rockwell" w:hAnsi="Rockwell"/>
          <w:sz w:val="24"/>
          <w:szCs w:val="24"/>
          <w:lang w:val="fr-CA"/>
        </w:rPr>
      </w:pPr>
    </w:p>
    <w:p w:rsidR="00517FC1" w:rsidRPr="0061020E" w:rsidRDefault="00517FC1"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le cadre de</w:t>
      </w:r>
      <w:r w:rsidR="00CC1E1E" w:rsidRPr="0061020E">
        <w:rPr>
          <w:rFonts w:ascii="Rockwell" w:hAnsi="Rockwell"/>
          <w:sz w:val="24"/>
          <w:szCs w:val="24"/>
          <w:lang w:val="fr-CA"/>
        </w:rPr>
        <w:t xml:space="preserve"> la commande publique</w:t>
      </w:r>
      <w:r w:rsidRPr="0061020E">
        <w:rPr>
          <w:rFonts w:ascii="Rockwell" w:hAnsi="Rockwell"/>
          <w:sz w:val="24"/>
          <w:szCs w:val="24"/>
          <w:lang w:val="fr-CA"/>
        </w:rPr>
        <w:t xml:space="preserve">, les </w:t>
      </w:r>
      <w:r w:rsidR="00CC1E1E" w:rsidRPr="0061020E">
        <w:rPr>
          <w:rFonts w:ascii="Rockwell" w:hAnsi="Rockwell"/>
          <w:sz w:val="24"/>
          <w:szCs w:val="24"/>
          <w:lang w:val="fr-CA"/>
        </w:rPr>
        <w:t xml:space="preserve">autorités </w:t>
      </w:r>
      <w:r w:rsidRPr="0061020E">
        <w:rPr>
          <w:rFonts w:ascii="Rockwell" w:hAnsi="Rockwell"/>
          <w:sz w:val="24"/>
          <w:szCs w:val="24"/>
          <w:lang w:val="fr-CA"/>
        </w:rPr>
        <w:t xml:space="preserve"> contractantes peuvent s’appuyer sur la méthodologie suivante</w:t>
      </w:r>
      <w:r w:rsidR="00F86164">
        <w:rPr>
          <w:rFonts w:ascii="Rockwell" w:hAnsi="Rockwell"/>
          <w:sz w:val="24"/>
          <w:szCs w:val="24"/>
          <w:lang w:val="fr-CA"/>
        </w:rPr>
        <w:t>,</w:t>
      </w:r>
      <w:r w:rsidRPr="0061020E">
        <w:rPr>
          <w:rFonts w:ascii="Rockwell" w:hAnsi="Rockwell"/>
          <w:sz w:val="24"/>
          <w:szCs w:val="24"/>
          <w:lang w:val="fr-CA"/>
        </w:rPr>
        <w:t xml:space="preserve"> afin de référer les normes dans les appels d’offres.</w:t>
      </w:r>
      <w:r w:rsidR="00136958" w:rsidRPr="0061020E">
        <w:rPr>
          <w:rFonts w:ascii="Rockwell" w:hAnsi="Rockwell"/>
          <w:sz w:val="24"/>
          <w:szCs w:val="24"/>
          <w:lang w:val="fr-CA"/>
        </w:rPr>
        <w:t xml:space="preserve"> Il </w:t>
      </w:r>
      <w:r w:rsidR="00CC1E1E" w:rsidRPr="0061020E">
        <w:rPr>
          <w:rFonts w:ascii="Rockwell" w:hAnsi="Rockwell"/>
          <w:sz w:val="24"/>
          <w:szCs w:val="24"/>
          <w:lang w:val="fr-CA"/>
        </w:rPr>
        <w:t xml:space="preserve">leur </w:t>
      </w:r>
      <w:r w:rsidR="00136958" w:rsidRPr="0061020E">
        <w:rPr>
          <w:rFonts w:ascii="Rockwell" w:hAnsi="Rockwell"/>
          <w:sz w:val="24"/>
          <w:szCs w:val="24"/>
          <w:lang w:val="fr-CA"/>
        </w:rPr>
        <w:t>est fortement recommandé  de consulter</w:t>
      </w:r>
      <w:r w:rsidR="00F86164">
        <w:rPr>
          <w:rFonts w:ascii="Rockwell" w:hAnsi="Rockwell"/>
          <w:sz w:val="24"/>
          <w:szCs w:val="24"/>
          <w:lang w:val="fr-CA"/>
        </w:rPr>
        <w:t>,</w:t>
      </w:r>
      <w:r w:rsidR="00136958" w:rsidRPr="0061020E">
        <w:rPr>
          <w:rFonts w:ascii="Rockwell" w:hAnsi="Rockwell"/>
          <w:sz w:val="24"/>
          <w:szCs w:val="24"/>
          <w:lang w:val="fr-CA"/>
        </w:rPr>
        <w:t xml:space="preserve"> si besoin</w:t>
      </w:r>
      <w:r w:rsidR="00F86164">
        <w:rPr>
          <w:rFonts w:ascii="Rockwell" w:hAnsi="Rockwell"/>
          <w:sz w:val="24"/>
          <w:szCs w:val="24"/>
          <w:lang w:val="fr-CA"/>
        </w:rPr>
        <w:t>,</w:t>
      </w:r>
      <w:r w:rsidR="00136958" w:rsidRPr="0061020E">
        <w:rPr>
          <w:rFonts w:ascii="Rockwell" w:hAnsi="Rockwell"/>
          <w:sz w:val="24"/>
          <w:szCs w:val="24"/>
          <w:lang w:val="fr-CA"/>
        </w:rPr>
        <w:t xml:space="preserve"> la structure en charge de la normalisation au Burkina Faso.</w:t>
      </w:r>
    </w:p>
    <w:p w:rsidR="008C7F3C" w:rsidRPr="0061020E" w:rsidRDefault="008C7F3C" w:rsidP="008F6018">
      <w:pPr>
        <w:spacing w:after="120" w:line="240" w:lineRule="auto"/>
        <w:jc w:val="both"/>
        <w:rPr>
          <w:rFonts w:ascii="Rockwell" w:hAnsi="Rockwell"/>
          <w:sz w:val="24"/>
          <w:szCs w:val="24"/>
          <w:lang w:val="fr-CA"/>
        </w:rPr>
      </w:pPr>
    </w:p>
    <w:p w:rsidR="00136958" w:rsidRPr="000545B4" w:rsidRDefault="00136958" w:rsidP="008F6018">
      <w:pPr>
        <w:pStyle w:val="Titre2"/>
        <w:numPr>
          <w:ilvl w:val="0"/>
          <w:numId w:val="95"/>
        </w:numPr>
        <w:spacing w:before="0" w:after="120" w:line="240" w:lineRule="auto"/>
        <w:jc w:val="both"/>
        <w:rPr>
          <w:rFonts w:ascii="Rockwell" w:hAnsi="Rockwell"/>
          <w:color w:val="auto"/>
          <w:sz w:val="24"/>
          <w:szCs w:val="24"/>
        </w:rPr>
      </w:pPr>
      <w:bookmarkStart w:id="136" w:name="_Toc503784931"/>
      <w:bookmarkStart w:id="137" w:name="_Toc505063298"/>
      <w:r w:rsidRPr="000545B4">
        <w:rPr>
          <w:rFonts w:ascii="Rockwell" w:hAnsi="Rockwell"/>
          <w:color w:val="auto"/>
          <w:sz w:val="24"/>
          <w:szCs w:val="24"/>
        </w:rPr>
        <w:t>Méthodologie de référence aux normes</w:t>
      </w:r>
      <w:r w:rsidR="00F86164">
        <w:rPr>
          <w:rFonts w:ascii="Rockwell" w:hAnsi="Rockwell"/>
          <w:color w:val="auto"/>
          <w:sz w:val="24"/>
          <w:szCs w:val="24"/>
        </w:rPr>
        <w:t>,</w:t>
      </w:r>
      <w:r w:rsidRPr="000545B4">
        <w:rPr>
          <w:rFonts w:ascii="Rockwell" w:hAnsi="Rockwell"/>
          <w:color w:val="auto"/>
          <w:sz w:val="24"/>
          <w:szCs w:val="24"/>
        </w:rPr>
        <w:t xml:space="preserve"> avant l’achat public</w:t>
      </w:r>
      <w:bookmarkEnd w:id="136"/>
      <w:bookmarkEnd w:id="137"/>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méthodologie consiste à trouver la bonne norme à référencer dans un document de marché comme départ indispensable dans cette démarche. La recherche de la  norme appropriée s’opère</w:t>
      </w:r>
      <w:r w:rsidR="00F86164">
        <w:rPr>
          <w:rFonts w:ascii="Rockwell" w:hAnsi="Rockwell"/>
          <w:sz w:val="24"/>
          <w:szCs w:val="24"/>
          <w:lang w:val="fr-CA"/>
        </w:rPr>
        <w:t>,</w:t>
      </w:r>
      <w:r w:rsidRPr="0061020E">
        <w:rPr>
          <w:rFonts w:ascii="Rockwell" w:hAnsi="Rockwell"/>
          <w:sz w:val="24"/>
          <w:szCs w:val="24"/>
          <w:lang w:val="fr-CA"/>
        </w:rPr>
        <w:t xml:space="preserve"> au regard de sa pertinence économique et des conditions réglementaires. Mais</w:t>
      </w:r>
      <w:r w:rsidR="00F86164">
        <w:rPr>
          <w:rFonts w:ascii="Rockwell" w:hAnsi="Rockwell"/>
          <w:sz w:val="24"/>
          <w:szCs w:val="24"/>
          <w:lang w:val="fr-CA"/>
        </w:rPr>
        <w:t>,</w:t>
      </w:r>
      <w:r w:rsidRPr="0061020E">
        <w:rPr>
          <w:rFonts w:ascii="Rockwell" w:hAnsi="Rockwell"/>
          <w:sz w:val="24"/>
          <w:szCs w:val="24"/>
          <w:lang w:val="fr-CA"/>
        </w:rPr>
        <w:t xml:space="preserve"> cela doit  aussi  être  accompagné d’une bonne compréhension de la nature, du potentiel et de la mise en œuvre des normes</w:t>
      </w:r>
      <w:r w:rsidR="00F86164">
        <w:rPr>
          <w:rFonts w:ascii="Rockwell" w:hAnsi="Rockwell"/>
          <w:sz w:val="24"/>
          <w:szCs w:val="24"/>
          <w:lang w:val="fr-CA"/>
        </w:rPr>
        <w:t>,</w:t>
      </w:r>
      <w:r w:rsidRPr="0061020E">
        <w:rPr>
          <w:rFonts w:ascii="Rockwell" w:hAnsi="Rockwell"/>
          <w:sz w:val="24"/>
          <w:szCs w:val="24"/>
          <w:lang w:val="fr-CA"/>
        </w:rPr>
        <w:t xml:space="preserve"> ainsi que de l’importance de communiquer sur leur contenu. Cette méthodologie procède en </w:t>
      </w:r>
      <w:r w:rsidR="000545B4">
        <w:rPr>
          <w:rFonts w:ascii="Rockwell" w:hAnsi="Rockwell"/>
          <w:sz w:val="24"/>
          <w:szCs w:val="24"/>
          <w:lang w:val="fr-CA"/>
        </w:rPr>
        <w:t>six (</w:t>
      </w:r>
      <w:r w:rsidRPr="0061020E">
        <w:rPr>
          <w:rFonts w:ascii="Rockwell" w:hAnsi="Rockwell"/>
          <w:sz w:val="24"/>
          <w:szCs w:val="24"/>
          <w:lang w:val="fr-CA"/>
        </w:rPr>
        <w:t>6</w:t>
      </w:r>
      <w:r w:rsidR="000545B4">
        <w:rPr>
          <w:rFonts w:ascii="Rockwell" w:hAnsi="Rockwell"/>
          <w:sz w:val="24"/>
          <w:szCs w:val="24"/>
          <w:lang w:val="fr-CA"/>
        </w:rPr>
        <w:t>)</w:t>
      </w:r>
      <w:r w:rsidRPr="0061020E">
        <w:rPr>
          <w:rFonts w:ascii="Rockwell" w:hAnsi="Rockwell"/>
          <w:sz w:val="24"/>
          <w:szCs w:val="24"/>
          <w:lang w:val="fr-CA"/>
        </w:rPr>
        <w:t xml:space="preserve"> étapes pour rechercher et utiliser des normes dans les marchés  publics</w:t>
      </w:r>
      <w:r w:rsidR="008D1CE4" w:rsidRPr="0061020E">
        <w:rPr>
          <w:rFonts w:ascii="Rockwell" w:hAnsi="Rockwell"/>
          <w:sz w:val="24"/>
          <w:szCs w:val="24"/>
          <w:lang w:val="fr-CA"/>
        </w:rPr>
        <w:t xml:space="preserve"> [7]</w:t>
      </w:r>
      <w:r w:rsidR="000545B4">
        <w:rPr>
          <w:rFonts w:ascii="Rockwell" w:hAnsi="Rockwell"/>
          <w:sz w:val="24"/>
          <w:szCs w:val="24"/>
          <w:lang w:val="fr-CA"/>
        </w:rPr>
        <w:t>.</w:t>
      </w:r>
    </w:p>
    <w:p w:rsidR="00AE30D2" w:rsidRPr="0061020E" w:rsidRDefault="00AE30D2" w:rsidP="008F6018">
      <w:pPr>
        <w:spacing w:after="120" w:line="240" w:lineRule="auto"/>
        <w:jc w:val="both"/>
        <w:rPr>
          <w:rFonts w:ascii="Rockwell" w:hAnsi="Rockwell"/>
          <w:sz w:val="24"/>
          <w:szCs w:val="24"/>
          <w:lang w:val="fr-CA"/>
        </w:rPr>
      </w:pPr>
    </w:p>
    <w:p w:rsidR="008C7F3C" w:rsidRPr="000545B4" w:rsidRDefault="008C7F3C" w:rsidP="008F6018">
      <w:pPr>
        <w:pStyle w:val="Titre3"/>
        <w:numPr>
          <w:ilvl w:val="0"/>
          <w:numId w:val="96"/>
        </w:numPr>
        <w:spacing w:before="0" w:after="120" w:line="240" w:lineRule="auto"/>
        <w:jc w:val="both"/>
        <w:rPr>
          <w:rFonts w:ascii="Rockwell" w:hAnsi="Rockwell"/>
          <w:color w:val="auto"/>
          <w:sz w:val="24"/>
          <w:szCs w:val="24"/>
        </w:rPr>
      </w:pPr>
      <w:bookmarkStart w:id="138" w:name="_Toc505063299"/>
      <w:r w:rsidRPr="000545B4">
        <w:rPr>
          <w:rFonts w:ascii="Rockwell" w:hAnsi="Rockwell"/>
          <w:color w:val="auto"/>
          <w:sz w:val="24"/>
          <w:szCs w:val="24"/>
        </w:rPr>
        <w:lastRenderedPageBreak/>
        <w:t>Étape 1 : Spécifications du produit</w:t>
      </w:r>
      <w:bookmarkEnd w:id="138"/>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L’acheteur doit avoir une idée précise du produit à acheter et des performances requises.</w:t>
      </w:r>
    </w:p>
    <w:p w:rsidR="008C7F3C" w:rsidRPr="0057016A" w:rsidRDefault="008C7F3C" w:rsidP="008F6018">
      <w:pPr>
        <w:spacing w:after="120" w:line="240" w:lineRule="auto"/>
        <w:jc w:val="both"/>
        <w:rPr>
          <w:rFonts w:ascii="Rockwell" w:hAnsi="Rockwell"/>
          <w:sz w:val="24"/>
          <w:szCs w:val="24"/>
          <w:lang w:val="fr-CA"/>
        </w:rPr>
      </w:pPr>
      <w:r w:rsidRPr="0057016A">
        <w:rPr>
          <w:rFonts w:ascii="Rockwell" w:hAnsi="Rockwell"/>
          <w:sz w:val="24"/>
          <w:szCs w:val="24"/>
          <w:highlight w:val="cyan"/>
          <w:lang w:val="fr-CA"/>
        </w:rPr>
        <w:t>Il est recommandé à cet effet</w:t>
      </w:r>
      <w:r w:rsidR="00F86164">
        <w:rPr>
          <w:rFonts w:ascii="Rockwell" w:hAnsi="Rockwell"/>
          <w:sz w:val="24"/>
          <w:szCs w:val="24"/>
          <w:highlight w:val="cyan"/>
          <w:lang w:val="fr-CA"/>
        </w:rPr>
        <w:t>,</w:t>
      </w:r>
      <w:r w:rsidRPr="0057016A">
        <w:rPr>
          <w:rFonts w:ascii="Rockwell" w:hAnsi="Rockwell"/>
          <w:sz w:val="24"/>
          <w:szCs w:val="24"/>
          <w:highlight w:val="cyan"/>
          <w:lang w:val="fr-CA"/>
        </w:rPr>
        <w:t xml:space="preserve"> de préférer les normes de performance plutôt que les normes descriptives.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Lorsque l'on a établi la nécessité d'une nouvelle norme, </w:t>
      </w:r>
      <w:r w:rsidR="00F86164">
        <w:rPr>
          <w:rFonts w:ascii="Rockwell" w:hAnsi="Rockwell"/>
          <w:sz w:val="24"/>
          <w:szCs w:val="24"/>
          <w:lang w:val="fr-CA"/>
        </w:rPr>
        <w:t>d’</w:t>
      </w:r>
      <w:r w:rsidRPr="0061020E">
        <w:rPr>
          <w:rFonts w:ascii="Rockwell" w:hAnsi="Rockwell"/>
          <w:sz w:val="24"/>
          <w:szCs w:val="24"/>
          <w:lang w:val="fr-CA"/>
        </w:rPr>
        <w:t>une nouvelle spécification et qu'il n'existe aucun document ou aucune liste convenable en cours d'élaboration, la structure responsable de l’achat devrait faire appel à l’ABNORM ou, étant donné que les clients sont responsables de la définition des besoins, suggérer au client de le faire.</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En cas de besoin urgent d'une nouvelle norme ou spécification, on peut demander à l’ABNORM d'élaborer une norme.</w:t>
      </w:r>
    </w:p>
    <w:p w:rsidR="00AE30D2" w:rsidRPr="0061020E" w:rsidRDefault="00AE30D2" w:rsidP="008F6018">
      <w:pPr>
        <w:spacing w:after="120" w:line="240" w:lineRule="auto"/>
        <w:jc w:val="both"/>
        <w:rPr>
          <w:rFonts w:ascii="Rockwell" w:hAnsi="Rockwell"/>
          <w:sz w:val="24"/>
          <w:szCs w:val="24"/>
          <w:lang w:val="fr-CA"/>
        </w:rPr>
      </w:pPr>
    </w:p>
    <w:p w:rsidR="008C7F3C" w:rsidRPr="00CF035A" w:rsidRDefault="008C7F3C" w:rsidP="008F6018">
      <w:pPr>
        <w:pStyle w:val="Titre3"/>
        <w:numPr>
          <w:ilvl w:val="0"/>
          <w:numId w:val="96"/>
        </w:numPr>
        <w:spacing w:before="0" w:after="120" w:line="240" w:lineRule="auto"/>
        <w:jc w:val="both"/>
        <w:rPr>
          <w:rFonts w:ascii="Rockwell" w:hAnsi="Rockwell"/>
          <w:color w:val="auto"/>
          <w:sz w:val="24"/>
          <w:szCs w:val="24"/>
        </w:rPr>
      </w:pPr>
      <w:bookmarkStart w:id="139" w:name="_Toc505063300"/>
      <w:r w:rsidRPr="00CF035A">
        <w:rPr>
          <w:rFonts w:ascii="Rockwell" w:hAnsi="Rockwell"/>
          <w:color w:val="auto"/>
          <w:sz w:val="24"/>
          <w:szCs w:val="24"/>
        </w:rPr>
        <w:t>Étape 2 : Rechercher les normes</w:t>
      </w:r>
      <w:bookmarkEnd w:id="139"/>
    </w:p>
    <w:p w:rsidR="008C7F3C" w:rsidRPr="0061020E" w:rsidRDefault="008C7F3C" w:rsidP="008F6018">
      <w:pPr>
        <w:spacing w:after="120" w:line="240" w:lineRule="auto"/>
        <w:jc w:val="both"/>
        <w:rPr>
          <w:rFonts w:ascii="Rockwell" w:hAnsi="Rockwell"/>
          <w:sz w:val="24"/>
          <w:szCs w:val="24"/>
          <w:lang w:val="fr-CA"/>
        </w:rPr>
      </w:pPr>
      <w:r w:rsidRPr="001E2201">
        <w:rPr>
          <w:rFonts w:ascii="Rockwell" w:hAnsi="Rockwell"/>
          <w:sz w:val="24"/>
          <w:szCs w:val="24"/>
          <w:highlight w:val="magenta"/>
          <w:lang w:val="fr-CA"/>
        </w:rPr>
        <w:t xml:space="preserve">Pour trouver une norme, vous pouvez accéder au catalogue des normes </w:t>
      </w:r>
      <w:r w:rsidR="00F86164">
        <w:rPr>
          <w:rFonts w:ascii="Rockwell" w:hAnsi="Rockwell"/>
          <w:sz w:val="24"/>
          <w:szCs w:val="24"/>
          <w:highlight w:val="magenta"/>
          <w:lang w:val="fr-CA"/>
        </w:rPr>
        <w:t>b</w:t>
      </w:r>
      <w:r w:rsidRPr="001E2201">
        <w:rPr>
          <w:rFonts w:ascii="Rockwell" w:hAnsi="Rockwell"/>
          <w:sz w:val="24"/>
          <w:szCs w:val="24"/>
          <w:highlight w:val="magenta"/>
          <w:lang w:val="fr-CA"/>
        </w:rPr>
        <w:t>urkinab</w:t>
      </w:r>
      <w:r w:rsidR="00F86164">
        <w:rPr>
          <w:rFonts w:ascii="Rockwell" w:hAnsi="Rockwell"/>
          <w:sz w:val="24"/>
          <w:szCs w:val="24"/>
          <w:highlight w:val="magenta"/>
          <w:lang w:val="fr-CA"/>
        </w:rPr>
        <w:t>è</w:t>
      </w:r>
      <w:r w:rsidRPr="001E2201">
        <w:rPr>
          <w:rFonts w:ascii="Rockwell" w:hAnsi="Rockwell"/>
          <w:sz w:val="24"/>
          <w:szCs w:val="24"/>
          <w:highlight w:val="magenta"/>
          <w:lang w:val="fr-CA"/>
        </w:rPr>
        <w:t xml:space="preserve"> au niveau de l’ABNORM.</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Constamment à l’écoute de sa clientèle</w:t>
      </w:r>
      <w:r w:rsidR="001E2201">
        <w:rPr>
          <w:rFonts w:ascii="Rockwell" w:hAnsi="Rockwell"/>
          <w:sz w:val="24"/>
          <w:szCs w:val="24"/>
          <w:lang w:val="fr-CA"/>
        </w:rPr>
        <w:t>, l’ABNORM propose le service   «</w:t>
      </w:r>
      <w:r w:rsidR="00F86164">
        <w:rPr>
          <w:rFonts w:ascii="Rockwell" w:hAnsi="Rockwell"/>
          <w:sz w:val="24"/>
          <w:szCs w:val="24"/>
          <w:lang w:val="fr-CA"/>
        </w:rPr>
        <w:t xml:space="preserve">Veille </w:t>
      </w:r>
      <w:r w:rsidR="001E2201">
        <w:rPr>
          <w:rFonts w:ascii="Rockwell" w:hAnsi="Rockwell"/>
          <w:sz w:val="24"/>
          <w:szCs w:val="24"/>
          <w:lang w:val="fr-CA"/>
        </w:rPr>
        <w:t xml:space="preserve">normative </w:t>
      </w:r>
      <w:r w:rsidRPr="0061020E">
        <w:rPr>
          <w:rFonts w:ascii="Rockwell" w:hAnsi="Rockwell"/>
          <w:sz w:val="24"/>
          <w:szCs w:val="24"/>
          <w:lang w:val="fr-CA"/>
        </w:rPr>
        <w:t>et r</w:t>
      </w:r>
      <w:r w:rsidR="00F86164">
        <w:rPr>
          <w:rFonts w:ascii="Rockwell" w:hAnsi="Rockwell"/>
          <w:sz w:val="24"/>
          <w:szCs w:val="24"/>
          <w:lang w:val="fr-CA"/>
        </w:rPr>
        <w:t>é</w:t>
      </w:r>
      <w:r w:rsidRPr="0061020E">
        <w:rPr>
          <w:rFonts w:ascii="Rockwell" w:hAnsi="Rockwell"/>
          <w:sz w:val="24"/>
          <w:szCs w:val="24"/>
          <w:lang w:val="fr-CA"/>
        </w:rPr>
        <w:t>glementaire ». Ce service permet à une entreprise ou une personne de :</w:t>
      </w:r>
    </w:p>
    <w:p w:rsidR="00CF035A" w:rsidRDefault="008C7F3C" w:rsidP="008F6018">
      <w:pPr>
        <w:pStyle w:val="Paragraphedeliste"/>
        <w:numPr>
          <w:ilvl w:val="0"/>
          <w:numId w:val="108"/>
        </w:numPr>
        <w:spacing w:after="120" w:line="240" w:lineRule="auto"/>
        <w:jc w:val="both"/>
        <w:rPr>
          <w:rFonts w:ascii="Rockwell" w:hAnsi="Rockwell"/>
          <w:sz w:val="24"/>
          <w:szCs w:val="24"/>
          <w:lang w:val="fr-CA"/>
        </w:rPr>
      </w:pPr>
      <w:r w:rsidRPr="00CF035A">
        <w:rPr>
          <w:rFonts w:ascii="Rockwell" w:hAnsi="Rockwell"/>
          <w:sz w:val="24"/>
          <w:szCs w:val="24"/>
          <w:lang w:val="fr-CA"/>
        </w:rPr>
        <w:t>vérifier et actualiser les références de textes normatifs ou r</w:t>
      </w:r>
      <w:r w:rsidR="00F86164">
        <w:rPr>
          <w:rFonts w:ascii="Rockwell" w:hAnsi="Rockwell"/>
          <w:sz w:val="24"/>
          <w:szCs w:val="24"/>
          <w:lang w:val="fr-CA"/>
        </w:rPr>
        <w:t>é</w:t>
      </w:r>
      <w:r w:rsidRPr="00CF035A">
        <w:rPr>
          <w:rFonts w:ascii="Rockwell" w:hAnsi="Rockwell"/>
          <w:sz w:val="24"/>
          <w:szCs w:val="24"/>
          <w:lang w:val="fr-CA"/>
        </w:rPr>
        <w:t>glementaires</w:t>
      </w:r>
      <w:r w:rsidR="00CF035A">
        <w:rPr>
          <w:rFonts w:ascii="Rockwell" w:hAnsi="Rockwell"/>
          <w:sz w:val="24"/>
          <w:szCs w:val="24"/>
          <w:lang w:val="fr-CA"/>
        </w:rPr>
        <w:t xml:space="preserve"> ;</w:t>
      </w:r>
    </w:p>
    <w:p w:rsidR="008C7F3C" w:rsidRPr="00CF035A" w:rsidRDefault="008C7F3C" w:rsidP="008F6018">
      <w:pPr>
        <w:pStyle w:val="Paragraphedeliste"/>
        <w:numPr>
          <w:ilvl w:val="0"/>
          <w:numId w:val="108"/>
        </w:numPr>
        <w:spacing w:after="120" w:line="240" w:lineRule="auto"/>
        <w:jc w:val="both"/>
        <w:rPr>
          <w:rFonts w:ascii="Rockwell" w:hAnsi="Rockwell"/>
          <w:sz w:val="24"/>
          <w:szCs w:val="24"/>
          <w:lang w:val="fr-CA"/>
        </w:rPr>
      </w:pPr>
      <w:r w:rsidRPr="00CF035A">
        <w:rPr>
          <w:rFonts w:ascii="Rockwell" w:hAnsi="Rockwell"/>
          <w:sz w:val="24"/>
          <w:szCs w:val="24"/>
          <w:lang w:val="fr-CA"/>
        </w:rPr>
        <w:t xml:space="preserve">être informé </w:t>
      </w:r>
      <w:r w:rsidR="00F86164">
        <w:rPr>
          <w:rFonts w:ascii="Rockwell" w:hAnsi="Rockwell"/>
          <w:sz w:val="24"/>
          <w:szCs w:val="24"/>
          <w:lang w:val="fr-CA"/>
        </w:rPr>
        <w:t>de</w:t>
      </w:r>
      <w:r w:rsidRPr="00CF035A">
        <w:rPr>
          <w:rFonts w:ascii="Rockwell" w:hAnsi="Rockwell"/>
          <w:sz w:val="24"/>
          <w:szCs w:val="24"/>
          <w:lang w:val="fr-CA"/>
        </w:rPr>
        <w:t xml:space="preserve"> la mise à jour de la liste des normes et des référentiels de certification des p</w:t>
      </w:r>
      <w:r w:rsidR="00F86164">
        <w:rPr>
          <w:rFonts w:ascii="Rockwell" w:hAnsi="Rockwell"/>
          <w:sz w:val="24"/>
          <w:szCs w:val="24"/>
          <w:lang w:val="fr-CA"/>
        </w:rPr>
        <w:t xml:space="preserve">roduits et services (règlements </w:t>
      </w:r>
      <w:r w:rsidRPr="00CF035A">
        <w:rPr>
          <w:rFonts w:ascii="Rockwell" w:hAnsi="Rockwell"/>
          <w:sz w:val="24"/>
          <w:szCs w:val="24"/>
          <w:lang w:val="fr-CA"/>
        </w:rPr>
        <w:t>techniques particuliers). Il convient de bien suivre l’évolution des normes</w:t>
      </w:r>
      <w:r w:rsidR="00F86164">
        <w:rPr>
          <w:rFonts w:ascii="Rockwell" w:hAnsi="Rockwell"/>
          <w:sz w:val="24"/>
          <w:szCs w:val="24"/>
          <w:lang w:val="fr-CA"/>
        </w:rPr>
        <w:t>,</w:t>
      </w:r>
      <w:r w:rsidRPr="00CF035A">
        <w:rPr>
          <w:rFonts w:ascii="Rockwell" w:hAnsi="Rockwell"/>
          <w:sz w:val="24"/>
          <w:szCs w:val="24"/>
          <w:lang w:val="fr-CA"/>
        </w:rPr>
        <w:t xml:space="preserve"> car elles sont assujetties, fréquemment, à des révisions. </w:t>
      </w:r>
    </w:p>
    <w:p w:rsidR="008C7F3C" w:rsidRPr="00CF035A" w:rsidRDefault="008C7F3C" w:rsidP="008F6018">
      <w:pPr>
        <w:pStyle w:val="Titre3"/>
        <w:numPr>
          <w:ilvl w:val="0"/>
          <w:numId w:val="96"/>
        </w:numPr>
        <w:spacing w:before="0" w:after="120" w:line="240" w:lineRule="auto"/>
        <w:jc w:val="both"/>
        <w:rPr>
          <w:rFonts w:ascii="Rockwell" w:hAnsi="Rockwell"/>
          <w:color w:val="auto"/>
          <w:sz w:val="24"/>
          <w:szCs w:val="24"/>
        </w:rPr>
      </w:pPr>
      <w:bookmarkStart w:id="140" w:name="_Toc505063301"/>
      <w:r w:rsidRPr="00CF035A">
        <w:rPr>
          <w:rFonts w:ascii="Rockwell" w:hAnsi="Rockwell"/>
          <w:color w:val="auto"/>
          <w:sz w:val="24"/>
          <w:szCs w:val="24"/>
        </w:rPr>
        <w:t>Étape 3 : Sélectionner la norme appropriée (nationale ou internationale)</w:t>
      </w:r>
      <w:bookmarkEnd w:id="140"/>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le cas où le produit</w:t>
      </w:r>
      <w:r w:rsidR="00F86164">
        <w:rPr>
          <w:rFonts w:ascii="Rockwell" w:hAnsi="Rockwell"/>
          <w:sz w:val="24"/>
          <w:szCs w:val="24"/>
          <w:lang w:val="fr-CA"/>
        </w:rPr>
        <w:t>,</w:t>
      </w:r>
      <w:r w:rsidRPr="0061020E">
        <w:rPr>
          <w:rFonts w:ascii="Rockwell" w:hAnsi="Rockwell"/>
          <w:sz w:val="24"/>
          <w:szCs w:val="24"/>
          <w:lang w:val="fr-CA"/>
        </w:rPr>
        <w:t xml:space="preserve"> objet de l’achat public</w:t>
      </w:r>
      <w:r w:rsidR="00F86164">
        <w:rPr>
          <w:rFonts w:ascii="Rockwell" w:hAnsi="Rockwell"/>
          <w:sz w:val="24"/>
          <w:szCs w:val="24"/>
          <w:lang w:val="fr-CA"/>
        </w:rPr>
        <w:t>,</w:t>
      </w:r>
      <w:r w:rsidRPr="0061020E">
        <w:rPr>
          <w:rFonts w:ascii="Rockwell" w:hAnsi="Rockwell"/>
          <w:sz w:val="24"/>
          <w:szCs w:val="24"/>
          <w:lang w:val="fr-CA"/>
        </w:rPr>
        <w:t xml:space="preserve"> n’est pas spécifié dans une norme </w:t>
      </w:r>
      <w:r w:rsidR="00F86164">
        <w:rPr>
          <w:rFonts w:ascii="Rockwell" w:hAnsi="Rockwell"/>
          <w:sz w:val="24"/>
          <w:szCs w:val="24"/>
          <w:lang w:val="fr-CA"/>
        </w:rPr>
        <w:t>b</w:t>
      </w:r>
      <w:r w:rsidRPr="0061020E">
        <w:rPr>
          <w:rFonts w:ascii="Rockwell" w:hAnsi="Rockwell"/>
          <w:sz w:val="24"/>
          <w:szCs w:val="24"/>
          <w:lang w:val="fr-CA"/>
        </w:rPr>
        <w:t>urkinab</w:t>
      </w:r>
      <w:r w:rsidR="00F86164">
        <w:rPr>
          <w:rFonts w:ascii="Rockwell" w:hAnsi="Rockwell"/>
          <w:sz w:val="24"/>
          <w:szCs w:val="24"/>
          <w:lang w:val="fr-CA"/>
        </w:rPr>
        <w:t>è</w:t>
      </w:r>
      <w:r w:rsidRPr="0061020E">
        <w:rPr>
          <w:rFonts w:ascii="Rockwell" w:hAnsi="Rockwell"/>
          <w:sz w:val="24"/>
          <w:szCs w:val="24"/>
          <w:lang w:val="fr-CA"/>
        </w:rPr>
        <w:t>, on pourrait faire recours aux normes internationales ISO, CEI, Codex, UIT, etc...</w:t>
      </w:r>
    </w:p>
    <w:p w:rsidR="00E25D2A" w:rsidRPr="0061020E" w:rsidRDefault="00E25D2A" w:rsidP="008F6018">
      <w:pPr>
        <w:spacing w:after="120" w:line="240" w:lineRule="auto"/>
        <w:jc w:val="both"/>
        <w:rPr>
          <w:rFonts w:ascii="Rockwell" w:hAnsi="Rockwell"/>
          <w:sz w:val="24"/>
          <w:szCs w:val="24"/>
          <w:lang w:val="fr-CA"/>
        </w:rPr>
      </w:pPr>
    </w:p>
    <w:p w:rsidR="008C7F3C" w:rsidRPr="00CF035A" w:rsidRDefault="008C7F3C" w:rsidP="008F6018">
      <w:pPr>
        <w:pStyle w:val="Titre3"/>
        <w:numPr>
          <w:ilvl w:val="0"/>
          <w:numId w:val="96"/>
        </w:numPr>
        <w:spacing w:before="0" w:after="120" w:line="240" w:lineRule="auto"/>
        <w:jc w:val="both"/>
        <w:rPr>
          <w:rFonts w:ascii="Rockwell" w:hAnsi="Rockwell"/>
          <w:color w:val="auto"/>
          <w:sz w:val="24"/>
          <w:szCs w:val="24"/>
        </w:rPr>
      </w:pPr>
      <w:bookmarkStart w:id="141" w:name="_Toc505063302"/>
      <w:r w:rsidRPr="00CF035A">
        <w:rPr>
          <w:rFonts w:ascii="Rockwell" w:hAnsi="Rockwell"/>
          <w:color w:val="auto"/>
          <w:sz w:val="24"/>
          <w:szCs w:val="24"/>
        </w:rPr>
        <w:t>Étape 4 : Rechercher les informations appropriées dans le corps de la norme</w:t>
      </w:r>
      <w:bookmarkEnd w:id="141"/>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plupart des normes suivent le plan suivant :</w:t>
      </w:r>
    </w:p>
    <w:p w:rsidR="00AE30D2" w:rsidRPr="0061020E" w:rsidRDefault="00AE30D2" w:rsidP="008F6018">
      <w:pPr>
        <w:spacing w:after="120" w:line="240" w:lineRule="auto"/>
        <w:jc w:val="both"/>
        <w:rPr>
          <w:rFonts w:ascii="Rockwell" w:hAnsi="Rockwell"/>
          <w:sz w:val="24"/>
          <w:szCs w:val="24"/>
          <w:lang w:val="fr-CA"/>
        </w:rPr>
      </w:pPr>
    </w:p>
    <w:p w:rsidR="008C7F3C"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Objet de la norme</w:t>
      </w:r>
      <w:r w:rsidR="00E25D2A" w:rsidRPr="007A228E">
        <w:rPr>
          <w:rFonts w:ascii="Rockwell" w:hAnsi="Rockwell"/>
          <w:b/>
          <w:i/>
          <w:sz w:val="24"/>
          <w:szCs w:val="24"/>
          <w:lang w:val="fr-CA"/>
        </w:rPr>
        <w:t>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Décrit l’objet de la  norme</w:t>
      </w:r>
      <w:r w:rsidR="00F86164">
        <w:rPr>
          <w:rFonts w:ascii="Rockwell" w:hAnsi="Rockwell"/>
          <w:sz w:val="24"/>
          <w:szCs w:val="24"/>
          <w:lang w:val="fr-CA"/>
        </w:rPr>
        <w:t>,</w:t>
      </w:r>
      <w:r w:rsidRPr="0061020E">
        <w:rPr>
          <w:rFonts w:ascii="Rockwell" w:hAnsi="Rockwell"/>
          <w:sz w:val="24"/>
          <w:szCs w:val="24"/>
          <w:lang w:val="fr-CA"/>
        </w:rPr>
        <w:t xml:space="preserve"> c’est-à-dire le sujet envisagé et les aspects couverts.</w:t>
      </w:r>
    </w:p>
    <w:p w:rsidR="008C7F3C"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Domaine d’application :</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Spécifie le champ d’application de la norme et définit éventuellement</w:t>
      </w:r>
      <w:r w:rsidR="00F86164">
        <w:rPr>
          <w:rFonts w:ascii="Rockwell" w:hAnsi="Rockwell"/>
          <w:sz w:val="24"/>
          <w:szCs w:val="24"/>
          <w:lang w:val="fr-CA"/>
        </w:rPr>
        <w:t>,</w:t>
      </w:r>
      <w:r w:rsidRPr="0061020E">
        <w:rPr>
          <w:rFonts w:ascii="Rockwell" w:hAnsi="Rockwell"/>
          <w:sz w:val="24"/>
          <w:szCs w:val="24"/>
          <w:lang w:val="fr-CA"/>
        </w:rPr>
        <w:t xml:space="preserve"> les exclusions.</w:t>
      </w:r>
    </w:p>
    <w:p w:rsidR="008C7F3C"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Références normatives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Ce paragraphe mentionne les références normatives auxiliaires et auxquelles la norme renvoi</w:t>
      </w:r>
      <w:r w:rsidR="00F86164">
        <w:rPr>
          <w:rFonts w:ascii="Rockwell" w:hAnsi="Rockwell"/>
          <w:sz w:val="24"/>
          <w:szCs w:val="24"/>
          <w:lang w:val="fr-CA"/>
        </w:rPr>
        <w:t>e</w:t>
      </w:r>
      <w:r w:rsidRPr="0061020E">
        <w:rPr>
          <w:rFonts w:ascii="Rockwell" w:hAnsi="Rockwell"/>
          <w:sz w:val="24"/>
          <w:szCs w:val="24"/>
          <w:lang w:val="fr-CA"/>
        </w:rPr>
        <w:t>. Il s’agit d’une méthodologie adoptée</w:t>
      </w:r>
      <w:r w:rsidR="00F86164">
        <w:rPr>
          <w:rFonts w:ascii="Rockwell" w:hAnsi="Rockwell"/>
          <w:sz w:val="24"/>
          <w:szCs w:val="24"/>
          <w:lang w:val="fr-CA"/>
        </w:rPr>
        <w:t>,</w:t>
      </w:r>
      <w:r w:rsidRPr="0061020E">
        <w:rPr>
          <w:rFonts w:ascii="Rockwell" w:hAnsi="Rockwell"/>
          <w:sz w:val="24"/>
          <w:szCs w:val="24"/>
          <w:lang w:val="fr-CA"/>
        </w:rPr>
        <w:t xml:space="preserve"> en vue d’alléger le contenu des normes dont  le rôle essentiel est d’arrêter les exigences techniques. Les normes auxiliaires spécifiant </w:t>
      </w:r>
      <w:r w:rsidR="00E25D2A" w:rsidRPr="0061020E">
        <w:rPr>
          <w:rFonts w:ascii="Rockwell" w:hAnsi="Rockwell"/>
          <w:sz w:val="24"/>
          <w:szCs w:val="24"/>
          <w:lang w:val="fr-CA"/>
        </w:rPr>
        <w:t xml:space="preserve">les </w:t>
      </w:r>
      <w:r w:rsidRPr="0061020E">
        <w:rPr>
          <w:rFonts w:ascii="Rockwell" w:hAnsi="Rockwell"/>
          <w:sz w:val="24"/>
          <w:szCs w:val="24"/>
          <w:lang w:val="fr-CA"/>
        </w:rPr>
        <w:t>méthodes de vérification de ces exigences, la description des essais, les dimensions, la terminologie</w:t>
      </w:r>
      <w:r w:rsidR="00F86164">
        <w:rPr>
          <w:rFonts w:ascii="Rockwell" w:hAnsi="Rockwell"/>
          <w:sz w:val="24"/>
          <w:szCs w:val="24"/>
          <w:lang w:val="fr-CA"/>
        </w:rPr>
        <w:t>,</w:t>
      </w:r>
      <w:r w:rsidRPr="0061020E">
        <w:rPr>
          <w:rFonts w:ascii="Rockwell" w:hAnsi="Rockwell"/>
          <w:sz w:val="24"/>
          <w:szCs w:val="24"/>
          <w:lang w:val="fr-CA"/>
        </w:rPr>
        <w:t xml:space="preserve"> ainsi que les classes et les catégories de </w:t>
      </w:r>
      <w:r w:rsidRPr="0061020E">
        <w:rPr>
          <w:rFonts w:ascii="Rockwell" w:hAnsi="Rockwell"/>
          <w:sz w:val="24"/>
          <w:szCs w:val="24"/>
          <w:lang w:val="fr-CA"/>
        </w:rPr>
        <w:lastRenderedPageBreak/>
        <w:t xml:space="preserve">produits font </w:t>
      </w:r>
      <w:r w:rsidR="003A48AC">
        <w:rPr>
          <w:rFonts w:ascii="Rockwell" w:hAnsi="Rockwell"/>
          <w:sz w:val="24"/>
          <w:szCs w:val="24"/>
          <w:lang w:val="fr-CA"/>
        </w:rPr>
        <w:t>l’</w:t>
      </w:r>
      <w:r w:rsidRPr="0061020E">
        <w:rPr>
          <w:rFonts w:ascii="Rockwell" w:hAnsi="Rockwell"/>
          <w:sz w:val="24"/>
          <w:szCs w:val="24"/>
          <w:lang w:val="fr-CA"/>
        </w:rPr>
        <w:t>objet de renvois. Notons enfin</w:t>
      </w:r>
      <w:r w:rsidR="00F86164">
        <w:rPr>
          <w:rFonts w:ascii="Rockwell" w:hAnsi="Rockwell"/>
          <w:sz w:val="24"/>
          <w:szCs w:val="24"/>
          <w:lang w:val="fr-CA"/>
        </w:rPr>
        <w:t>,</w:t>
      </w:r>
      <w:r w:rsidRPr="0061020E">
        <w:rPr>
          <w:rFonts w:ascii="Rockwell" w:hAnsi="Rockwell"/>
          <w:sz w:val="24"/>
          <w:szCs w:val="24"/>
          <w:lang w:val="fr-CA"/>
        </w:rPr>
        <w:t xml:space="preserve"> que ces dernières sont, dans la pratique, indispensables à l’application de la norme principale en question.</w:t>
      </w:r>
    </w:p>
    <w:p w:rsidR="00F52F95"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Disposi</w:t>
      </w:r>
      <w:r w:rsidR="00F52F95" w:rsidRPr="007A228E">
        <w:rPr>
          <w:rFonts w:ascii="Rockwell" w:hAnsi="Rockwell"/>
          <w:b/>
          <w:i/>
          <w:sz w:val="24"/>
          <w:szCs w:val="24"/>
          <w:lang w:val="fr-CA"/>
        </w:rPr>
        <w:t>tions/</w:t>
      </w:r>
      <w:r w:rsidR="003A48AC">
        <w:rPr>
          <w:rFonts w:ascii="Rockwell" w:hAnsi="Rockwell"/>
          <w:b/>
          <w:i/>
          <w:sz w:val="24"/>
          <w:szCs w:val="24"/>
          <w:lang w:val="fr-CA"/>
        </w:rPr>
        <w:t>p</w:t>
      </w:r>
      <w:r w:rsidR="00F52F95" w:rsidRPr="007A228E">
        <w:rPr>
          <w:rFonts w:ascii="Rockwell" w:hAnsi="Rockwell"/>
          <w:b/>
          <w:i/>
          <w:sz w:val="24"/>
          <w:szCs w:val="24"/>
          <w:lang w:val="fr-CA"/>
        </w:rPr>
        <w:t>rescriptions/</w:t>
      </w:r>
      <w:r w:rsidR="003A48AC">
        <w:rPr>
          <w:rFonts w:ascii="Rockwell" w:hAnsi="Rockwell"/>
          <w:b/>
          <w:i/>
          <w:sz w:val="24"/>
          <w:szCs w:val="24"/>
          <w:lang w:val="fr-CA"/>
        </w:rPr>
        <w:t>e</w:t>
      </w:r>
      <w:r w:rsidR="00F52F95" w:rsidRPr="007A228E">
        <w:rPr>
          <w:rFonts w:ascii="Rockwell" w:hAnsi="Rockwell"/>
          <w:b/>
          <w:i/>
          <w:sz w:val="24"/>
          <w:szCs w:val="24"/>
          <w:lang w:val="fr-CA"/>
        </w:rPr>
        <w:t>xigences :</w:t>
      </w:r>
    </w:p>
    <w:p w:rsidR="008C7F3C" w:rsidRDefault="00F52F95" w:rsidP="008F6018">
      <w:pPr>
        <w:spacing w:after="120" w:line="240" w:lineRule="auto"/>
        <w:jc w:val="both"/>
        <w:rPr>
          <w:rFonts w:ascii="Rockwell" w:hAnsi="Rockwell"/>
          <w:sz w:val="24"/>
          <w:szCs w:val="24"/>
          <w:lang w:val="fr-CA"/>
        </w:rPr>
      </w:pPr>
      <w:r w:rsidRPr="00F52F95">
        <w:rPr>
          <w:rFonts w:ascii="Rockwell" w:hAnsi="Rockwell"/>
          <w:sz w:val="24"/>
          <w:szCs w:val="24"/>
          <w:lang w:val="fr-CA"/>
        </w:rPr>
        <w:t>D</w:t>
      </w:r>
      <w:r w:rsidR="008C7F3C" w:rsidRPr="00F52F95">
        <w:rPr>
          <w:rFonts w:ascii="Rockwell" w:hAnsi="Rockwell"/>
          <w:sz w:val="24"/>
          <w:szCs w:val="24"/>
          <w:lang w:val="fr-CA"/>
        </w:rPr>
        <w:t>éfinissent le seuil à partir duquel les caractéristiques du produit ou du service visé peuvent</w:t>
      </w:r>
      <w:r w:rsidR="008C7F3C" w:rsidRPr="0061020E">
        <w:rPr>
          <w:rFonts w:ascii="Rockwell" w:hAnsi="Rockwell"/>
          <w:sz w:val="24"/>
          <w:szCs w:val="24"/>
          <w:lang w:val="fr-CA"/>
        </w:rPr>
        <w:t xml:space="preserve"> être jugées acceptables (</w:t>
      </w:r>
      <w:r w:rsidR="003A48AC">
        <w:rPr>
          <w:rFonts w:ascii="Rockwell" w:hAnsi="Rockwell"/>
          <w:sz w:val="24"/>
          <w:szCs w:val="24"/>
          <w:lang w:val="fr-CA"/>
        </w:rPr>
        <w:t>é</w:t>
      </w:r>
      <w:r w:rsidR="008C7F3C" w:rsidRPr="0061020E">
        <w:rPr>
          <w:rFonts w:ascii="Rockwell" w:hAnsi="Rockwell"/>
          <w:sz w:val="24"/>
          <w:szCs w:val="24"/>
          <w:lang w:val="fr-CA"/>
        </w:rPr>
        <w:t>tiquetage, marquage, emballage, entreposage…)</w:t>
      </w:r>
      <w:r w:rsidR="00AE30D2">
        <w:rPr>
          <w:rFonts w:ascii="Rockwell" w:hAnsi="Rockwell"/>
          <w:sz w:val="24"/>
          <w:szCs w:val="24"/>
          <w:lang w:val="fr-CA"/>
        </w:rPr>
        <w:t>.</w:t>
      </w:r>
    </w:p>
    <w:p w:rsidR="008C7F3C"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Annexes normatives</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Contiennent des dispositions qui servent de suite à la norme et qui en font partie intégrante.</w:t>
      </w:r>
    </w:p>
    <w:p w:rsidR="008C7F3C" w:rsidRPr="007A228E" w:rsidRDefault="008C7F3C" w:rsidP="008F6018">
      <w:pPr>
        <w:spacing w:after="120" w:line="240" w:lineRule="auto"/>
        <w:jc w:val="both"/>
        <w:rPr>
          <w:rFonts w:ascii="Rockwell" w:hAnsi="Rockwell"/>
          <w:b/>
          <w:i/>
          <w:sz w:val="24"/>
          <w:szCs w:val="24"/>
          <w:lang w:val="fr-CA"/>
        </w:rPr>
      </w:pPr>
      <w:r w:rsidRPr="007A228E">
        <w:rPr>
          <w:rFonts w:ascii="Rockwell" w:hAnsi="Rockwell"/>
          <w:b/>
          <w:i/>
          <w:sz w:val="24"/>
          <w:szCs w:val="24"/>
          <w:lang w:val="fr-CA"/>
        </w:rPr>
        <w:t xml:space="preserve">Annexes </w:t>
      </w:r>
      <w:r w:rsidR="003A48AC">
        <w:rPr>
          <w:rFonts w:ascii="Rockwell" w:hAnsi="Rockwell"/>
          <w:b/>
          <w:i/>
          <w:sz w:val="24"/>
          <w:szCs w:val="24"/>
          <w:lang w:val="fr-CA"/>
        </w:rPr>
        <w:t>i</w:t>
      </w:r>
      <w:r w:rsidRPr="007A228E">
        <w:rPr>
          <w:rFonts w:ascii="Rockwell" w:hAnsi="Rockwell"/>
          <w:b/>
          <w:i/>
          <w:sz w:val="24"/>
          <w:szCs w:val="24"/>
          <w:lang w:val="fr-CA"/>
        </w:rPr>
        <w:t>nformatives :</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Donnent des informations supplémentaires destinées à faciliter la compréhension ou l’utilisation de la norme.</w:t>
      </w:r>
    </w:p>
    <w:p w:rsidR="00AE30D2" w:rsidRPr="0061020E" w:rsidRDefault="00AE30D2" w:rsidP="008F6018">
      <w:pPr>
        <w:spacing w:after="120" w:line="240" w:lineRule="auto"/>
        <w:jc w:val="both"/>
        <w:rPr>
          <w:rFonts w:ascii="Rockwell" w:hAnsi="Rockwell"/>
          <w:sz w:val="24"/>
          <w:szCs w:val="24"/>
          <w:lang w:val="fr-CA"/>
        </w:rPr>
      </w:pPr>
    </w:p>
    <w:p w:rsidR="008C7F3C" w:rsidRPr="007A228E" w:rsidRDefault="008C7F3C" w:rsidP="008F6018">
      <w:pPr>
        <w:pStyle w:val="Titre3"/>
        <w:numPr>
          <w:ilvl w:val="0"/>
          <w:numId w:val="96"/>
        </w:numPr>
        <w:spacing w:before="0" w:after="120" w:line="240" w:lineRule="auto"/>
        <w:jc w:val="both"/>
        <w:rPr>
          <w:rFonts w:ascii="Rockwell" w:hAnsi="Rockwell"/>
          <w:color w:val="auto"/>
          <w:sz w:val="24"/>
          <w:szCs w:val="24"/>
        </w:rPr>
      </w:pPr>
      <w:bookmarkStart w:id="142" w:name="_Toc505063303"/>
      <w:r w:rsidRPr="007A228E">
        <w:rPr>
          <w:rFonts w:ascii="Rockwell" w:hAnsi="Rockwell"/>
          <w:color w:val="auto"/>
          <w:sz w:val="24"/>
          <w:szCs w:val="24"/>
        </w:rPr>
        <w:t>Étape 5 : Interpréter les prescriptions de la norme</w:t>
      </w:r>
      <w:bookmarkEnd w:id="142"/>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normes orientées vers la performance  n’indiquent  pas comment une prescription doit être réalisée. Elles décrivent la performance à satisfaire</w:t>
      </w:r>
      <w:r w:rsidR="003A48AC">
        <w:rPr>
          <w:rFonts w:ascii="Rockwell" w:hAnsi="Rockwell"/>
          <w:sz w:val="24"/>
          <w:szCs w:val="24"/>
          <w:lang w:val="fr-CA"/>
        </w:rPr>
        <w:t>,</w:t>
      </w:r>
      <w:r w:rsidRPr="0061020E">
        <w:rPr>
          <w:rFonts w:ascii="Rockwell" w:hAnsi="Rockwell"/>
          <w:sz w:val="24"/>
          <w:szCs w:val="24"/>
          <w:lang w:val="fr-CA"/>
        </w:rPr>
        <w:t xml:space="preserve"> dans les conditions raisonnablement prévisibles d’utilisation. Elles présentent les résultats à </w:t>
      </w:r>
      <w:r w:rsidR="003A48AC">
        <w:rPr>
          <w:rFonts w:ascii="Rockwell" w:hAnsi="Rockwell"/>
          <w:sz w:val="24"/>
          <w:szCs w:val="24"/>
          <w:lang w:val="fr-CA"/>
        </w:rPr>
        <w:t>atteindre</w:t>
      </w:r>
      <w:r w:rsidRPr="0061020E">
        <w:rPr>
          <w:rFonts w:ascii="Rockwell" w:hAnsi="Rockwell"/>
          <w:sz w:val="24"/>
          <w:szCs w:val="24"/>
          <w:lang w:val="fr-CA"/>
        </w:rPr>
        <w:t>.</w:t>
      </w:r>
      <w:r w:rsidRPr="0061020E">
        <w:rPr>
          <w:rFonts w:ascii="Rockwell" w:hAnsi="Rockwell"/>
          <w:sz w:val="24"/>
          <w:szCs w:val="24"/>
          <w:lang w:val="fr-CA"/>
        </w:rPr>
        <w:cr/>
        <w:t>Par contre, les normes descriptives sont des normes de moyen</w:t>
      </w:r>
      <w:r w:rsidR="003A48AC">
        <w:rPr>
          <w:rFonts w:ascii="Rockwell" w:hAnsi="Rockwell"/>
          <w:sz w:val="24"/>
          <w:szCs w:val="24"/>
          <w:lang w:val="fr-CA"/>
        </w:rPr>
        <w:t>s</w:t>
      </w:r>
      <w:r w:rsidRPr="0061020E">
        <w:rPr>
          <w:rFonts w:ascii="Rockwell" w:hAnsi="Rockwell"/>
          <w:sz w:val="24"/>
          <w:szCs w:val="24"/>
          <w:lang w:val="fr-CA"/>
        </w:rPr>
        <w:t>, elles décrivent les moyens à mettre en œuvre ou la méthodologie appropriée pour que le produit réponde aux caractéristiques définies.</w:t>
      </w:r>
    </w:p>
    <w:p w:rsidR="008C7F3C" w:rsidRPr="000B5FB3" w:rsidRDefault="008C7F3C" w:rsidP="008F6018">
      <w:pPr>
        <w:pStyle w:val="Titre3"/>
        <w:numPr>
          <w:ilvl w:val="0"/>
          <w:numId w:val="96"/>
        </w:numPr>
        <w:spacing w:before="0" w:after="120" w:line="240" w:lineRule="auto"/>
        <w:jc w:val="both"/>
        <w:rPr>
          <w:rFonts w:ascii="Rockwell" w:hAnsi="Rockwell"/>
          <w:color w:val="auto"/>
          <w:sz w:val="24"/>
          <w:szCs w:val="24"/>
        </w:rPr>
      </w:pPr>
      <w:bookmarkStart w:id="143" w:name="_Toc505063304"/>
      <w:r w:rsidRPr="000B5FB3">
        <w:rPr>
          <w:rFonts w:ascii="Rockwell" w:hAnsi="Rockwell"/>
          <w:color w:val="auto"/>
          <w:sz w:val="24"/>
          <w:szCs w:val="24"/>
        </w:rPr>
        <w:t>Étape 6 : Référencer la norme dans les documents de consultation (</w:t>
      </w:r>
      <w:r w:rsidR="003A48AC">
        <w:rPr>
          <w:rFonts w:ascii="Rockwell" w:hAnsi="Rockwell"/>
          <w:color w:val="auto"/>
          <w:sz w:val="24"/>
          <w:szCs w:val="24"/>
        </w:rPr>
        <w:t>c</w:t>
      </w:r>
      <w:r w:rsidRPr="000B5FB3">
        <w:rPr>
          <w:rFonts w:ascii="Rockwell" w:hAnsi="Rockwell"/>
          <w:color w:val="auto"/>
          <w:sz w:val="24"/>
          <w:szCs w:val="24"/>
        </w:rPr>
        <w:t>ahier des charges ou autre)</w:t>
      </w:r>
      <w:bookmarkEnd w:id="143"/>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référence aux normes devrait se limiter à celles nécessaires à satisfaire la performance exigée. En outre, il est recommandé de respecter les conventions de codification et/ou de classement</w:t>
      </w:r>
      <w:r w:rsidR="003A48AC">
        <w:rPr>
          <w:rFonts w:ascii="Rockwell" w:hAnsi="Rockwell"/>
          <w:sz w:val="24"/>
          <w:szCs w:val="24"/>
          <w:lang w:val="fr-CA"/>
        </w:rPr>
        <w:t>,</w:t>
      </w:r>
      <w:r w:rsidRPr="0061020E">
        <w:rPr>
          <w:rFonts w:ascii="Rockwell" w:hAnsi="Rockwell"/>
          <w:sz w:val="24"/>
          <w:szCs w:val="24"/>
          <w:lang w:val="fr-CA"/>
        </w:rPr>
        <w:t xml:space="preserve"> adoptées par les organismes de normalisation.</w:t>
      </w:r>
    </w:p>
    <w:p w:rsidR="008A29E3" w:rsidRPr="0061020E" w:rsidRDefault="008A29E3"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 xml:space="preserve">Exemple d’utilisation de la méthodologie de référence des normes dans les marchés publics : </w:t>
      </w:r>
      <w:r w:rsidR="003A48AC">
        <w:rPr>
          <w:rFonts w:ascii="Rockwell" w:hAnsi="Rockwell"/>
          <w:b/>
          <w:sz w:val="24"/>
          <w:szCs w:val="24"/>
          <w:lang w:val="fr-CA"/>
        </w:rPr>
        <w:t>a</w:t>
      </w:r>
      <w:r w:rsidRPr="0061020E">
        <w:rPr>
          <w:rFonts w:ascii="Rockwell" w:hAnsi="Rockwell"/>
          <w:b/>
          <w:sz w:val="24"/>
          <w:szCs w:val="24"/>
          <w:lang w:val="fr-CA"/>
        </w:rPr>
        <w:t>chat de chaises et tables pour les établissements scolaires</w:t>
      </w:r>
    </w:p>
    <w:p w:rsidR="008A29E3" w:rsidRPr="0061020E" w:rsidRDefault="008A29E3" w:rsidP="008F6018">
      <w:pPr>
        <w:pStyle w:val="Paragraphedeliste"/>
        <w:spacing w:after="120" w:line="240" w:lineRule="auto"/>
        <w:ind w:left="390"/>
        <w:jc w:val="both"/>
        <w:rPr>
          <w:rFonts w:ascii="Rockwell" w:hAnsi="Rockwell"/>
          <w:b/>
          <w:sz w:val="24"/>
          <w:szCs w:val="24"/>
          <w:lang w:val="fr-CA"/>
        </w:rPr>
      </w:pPr>
    </w:p>
    <w:tbl>
      <w:tblPr>
        <w:tblStyle w:val="TableNormal"/>
        <w:tblW w:w="9902" w:type="dxa"/>
        <w:jc w:val="center"/>
        <w:tblLook w:val="01E0" w:firstRow="1" w:lastRow="1" w:firstColumn="1" w:lastColumn="1" w:noHBand="0" w:noVBand="0"/>
      </w:tblPr>
      <w:tblGrid>
        <w:gridCol w:w="2656"/>
        <w:gridCol w:w="1926"/>
        <w:gridCol w:w="5320"/>
      </w:tblGrid>
      <w:tr w:rsidR="008C7F3C" w:rsidRPr="000B5FB3" w:rsidTr="000B5FB3">
        <w:trPr>
          <w:trHeight w:val="515"/>
          <w:tblHeader/>
          <w:jc w:val="center"/>
        </w:trPr>
        <w:tc>
          <w:tcPr>
            <w:tcW w:w="0" w:type="auto"/>
            <w:tcBorders>
              <w:top w:val="single" w:sz="17" w:space="0" w:color="000000"/>
              <w:left w:val="single" w:sz="17" w:space="0" w:color="000000"/>
              <w:right w:val="single" w:sz="8" w:space="0" w:color="000000"/>
            </w:tcBorders>
            <w:shd w:val="clear" w:color="auto" w:fill="C3D59B"/>
          </w:tcPr>
          <w:p w:rsidR="008C7F3C" w:rsidRPr="000B5FB3" w:rsidRDefault="008C7F3C" w:rsidP="000B5FB3">
            <w:pPr>
              <w:pStyle w:val="TableParagraph"/>
              <w:spacing w:after="120"/>
              <w:jc w:val="center"/>
              <w:rPr>
                <w:rFonts w:ascii="Rockwell" w:eastAsia="Calibri" w:hAnsi="Rockwell" w:cs="Calibri"/>
                <w:sz w:val="24"/>
                <w:szCs w:val="24"/>
              </w:rPr>
            </w:pPr>
            <w:r w:rsidRPr="000B5FB3">
              <w:rPr>
                <w:rFonts w:ascii="Rockwell" w:hAnsi="Rockwell"/>
                <w:b/>
                <w:sz w:val="24"/>
                <w:szCs w:val="24"/>
              </w:rPr>
              <w:t>ETAPES</w:t>
            </w:r>
          </w:p>
        </w:tc>
        <w:tc>
          <w:tcPr>
            <w:tcW w:w="0" w:type="auto"/>
            <w:tcBorders>
              <w:top w:val="single" w:sz="17" w:space="0" w:color="000000"/>
              <w:left w:val="single" w:sz="8" w:space="0" w:color="000000"/>
              <w:right w:val="single" w:sz="8" w:space="0" w:color="000000"/>
            </w:tcBorders>
            <w:shd w:val="clear" w:color="auto" w:fill="C3D59B"/>
          </w:tcPr>
          <w:p w:rsidR="008C7F3C" w:rsidRPr="000B5FB3" w:rsidRDefault="008C7F3C" w:rsidP="000B5FB3">
            <w:pPr>
              <w:pStyle w:val="TableParagraph"/>
              <w:spacing w:after="120"/>
              <w:ind w:right="74"/>
              <w:jc w:val="center"/>
              <w:rPr>
                <w:rFonts w:ascii="Rockwell" w:hAnsi="Rockwell"/>
                <w:sz w:val="24"/>
                <w:szCs w:val="24"/>
              </w:rPr>
            </w:pPr>
            <w:r w:rsidRPr="000B5FB3">
              <w:rPr>
                <w:rFonts w:ascii="Rockwell" w:hAnsi="Rockwell"/>
                <w:b/>
                <w:sz w:val="24"/>
                <w:szCs w:val="24"/>
              </w:rPr>
              <w:t>EXPLICATION</w:t>
            </w:r>
          </w:p>
        </w:tc>
        <w:tc>
          <w:tcPr>
            <w:tcW w:w="5381" w:type="dxa"/>
            <w:tcBorders>
              <w:top w:val="single" w:sz="17" w:space="0" w:color="000000"/>
              <w:left w:val="single" w:sz="8" w:space="0" w:color="000000"/>
              <w:right w:val="single" w:sz="17" w:space="0" w:color="000000"/>
            </w:tcBorders>
            <w:shd w:val="clear" w:color="auto" w:fill="C3D59B"/>
          </w:tcPr>
          <w:p w:rsidR="008C7F3C" w:rsidRPr="000B5FB3" w:rsidRDefault="008C7F3C" w:rsidP="000B5FB3">
            <w:pPr>
              <w:pStyle w:val="TableParagraph"/>
              <w:spacing w:after="120"/>
              <w:ind w:right="2929"/>
              <w:jc w:val="center"/>
              <w:rPr>
                <w:rFonts w:ascii="Rockwell" w:hAnsi="Rockwell"/>
                <w:sz w:val="24"/>
                <w:szCs w:val="24"/>
              </w:rPr>
            </w:pPr>
            <w:r w:rsidRPr="000B5FB3">
              <w:rPr>
                <w:rFonts w:ascii="Rockwell" w:hAnsi="Rockwell"/>
                <w:b/>
                <w:sz w:val="24"/>
                <w:szCs w:val="24"/>
              </w:rPr>
              <w:t>EXEMPLE</w:t>
            </w:r>
          </w:p>
        </w:tc>
      </w:tr>
      <w:tr w:rsidR="008C7F3C" w:rsidRPr="006847BA" w:rsidTr="001E2201">
        <w:trPr>
          <w:trHeight w:hRule="exact" w:val="2774"/>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rPr>
            </w:pPr>
          </w:p>
          <w:p w:rsidR="008C7F3C" w:rsidRPr="0061020E" w:rsidRDefault="008C7F3C" w:rsidP="008F6018">
            <w:pPr>
              <w:pStyle w:val="TableParagraph"/>
              <w:spacing w:after="120"/>
              <w:jc w:val="both"/>
              <w:rPr>
                <w:rFonts w:ascii="Rockwell" w:eastAsia="Calibri" w:hAnsi="Rockwell" w:cs="Calibri"/>
                <w:b/>
                <w:bCs/>
                <w:sz w:val="24"/>
                <w:szCs w:val="24"/>
              </w:rPr>
            </w:pPr>
          </w:p>
          <w:p w:rsidR="008C7F3C" w:rsidRPr="0061020E" w:rsidRDefault="008C7F3C" w:rsidP="008F6018">
            <w:pPr>
              <w:pStyle w:val="TableParagraph"/>
              <w:spacing w:after="120"/>
              <w:ind w:left="120"/>
              <w:jc w:val="both"/>
              <w:rPr>
                <w:rFonts w:ascii="Rockwell" w:eastAsia="Calibri" w:hAnsi="Rockwell" w:cs="Calibri"/>
                <w:sz w:val="24"/>
                <w:szCs w:val="24"/>
              </w:rPr>
            </w:pPr>
            <w:r w:rsidRPr="0061020E">
              <w:rPr>
                <w:rFonts w:ascii="Rockwell" w:hAnsi="Rockwell"/>
                <w:b/>
                <w:sz w:val="24"/>
                <w:szCs w:val="24"/>
              </w:rPr>
              <w:t>1. QUELLES SPECIFICATIONS</w:t>
            </w:r>
            <w:r w:rsidR="003A48AC">
              <w:rPr>
                <w:rFonts w:ascii="Rockwell" w:hAnsi="Rockwell"/>
                <w:b/>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3A48AC">
            <w:pPr>
              <w:pStyle w:val="TableParagraph"/>
              <w:spacing w:after="120"/>
              <w:ind w:left="131" w:right="129"/>
              <w:jc w:val="both"/>
              <w:rPr>
                <w:rFonts w:ascii="Rockwell" w:eastAsia="Calibri" w:hAnsi="Rockwell" w:cs="Calibri"/>
                <w:sz w:val="24"/>
                <w:szCs w:val="24"/>
                <w:lang w:val="fr-CA"/>
              </w:rPr>
            </w:pPr>
            <w:r w:rsidRPr="0061020E">
              <w:rPr>
                <w:rFonts w:ascii="Rockwell" w:eastAsia="Calibri" w:hAnsi="Rockwell" w:cs="Calibri"/>
                <w:sz w:val="24"/>
                <w:szCs w:val="24"/>
                <w:lang w:val="fr-CA"/>
              </w:rPr>
              <w:t>L’acheteur doit avoir une idée du produit à acheter (1) et des performances requises (2)</w:t>
            </w:r>
          </w:p>
        </w:tc>
        <w:tc>
          <w:tcPr>
            <w:tcW w:w="5381" w:type="dxa"/>
            <w:tcBorders>
              <w:top w:val="single" w:sz="8" w:space="0" w:color="000000"/>
              <w:left w:val="single" w:sz="8" w:space="0" w:color="000000"/>
              <w:bottom w:val="single" w:sz="8" w:space="0" w:color="000000"/>
              <w:right w:val="single" w:sz="17" w:space="0" w:color="000000"/>
            </w:tcBorders>
          </w:tcPr>
          <w:p w:rsidR="008C7F3C" w:rsidRPr="0061020E" w:rsidRDefault="008C7F3C" w:rsidP="008F6018">
            <w:pPr>
              <w:pStyle w:val="TableParagraph"/>
              <w:spacing w:after="120"/>
              <w:ind w:left="98" w:right="78"/>
              <w:jc w:val="both"/>
              <w:rPr>
                <w:rFonts w:ascii="Rockwell" w:eastAsia="Calibri" w:hAnsi="Rockwell" w:cs="Calibri"/>
                <w:sz w:val="24"/>
                <w:szCs w:val="24"/>
                <w:lang w:val="fr-CA"/>
              </w:rPr>
            </w:pPr>
            <w:r w:rsidRPr="0061020E">
              <w:rPr>
                <w:rFonts w:ascii="Rockwell" w:hAnsi="Rockwell"/>
                <w:sz w:val="24"/>
                <w:szCs w:val="24"/>
                <w:u w:val="single" w:color="000000"/>
                <w:lang w:val="fr-CA"/>
              </w:rPr>
              <w:t>Achat de chaises et tables pour les établissements</w:t>
            </w:r>
            <w:r w:rsidRPr="0061020E">
              <w:rPr>
                <w:rFonts w:ascii="Rockwell" w:hAnsi="Rockwell"/>
                <w:spacing w:val="-24"/>
                <w:sz w:val="24"/>
                <w:szCs w:val="24"/>
                <w:u w:val="single" w:color="000000"/>
                <w:lang w:val="fr-CA"/>
              </w:rPr>
              <w:t xml:space="preserve"> </w:t>
            </w:r>
            <w:r w:rsidRPr="0061020E">
              <w:rPr>
                <w:rFonts w:ascii="Rockwell" w:hAnsi="Rockwell"/>
                <w:sz w:val="24"/>
                <w:szCs w:val="24"/>
                <w:u w:val="single" w:color="000000"/>
                <w:lang w:val="fr-CA"/>
              </w:rPr>
              <w:t>scolaires:</w:t>
            </w:r>
          </w:p>
          <w:p w:rsidR="008C7F3C" w:rsidRPr="0061020E" w:rsidRDefault="008C7F3C" w:rsidP="008F6018">
            <w:pPr>
              <w:pStyle w:val="TableParagraph"/>
              <w:numPr>
                <w:ilvl w:val="0"/>
                <w:numId w:val="6"/>
              </w:numPr>
              <w:tabs>
                <w:tab w:val="left" w:pos="228"/>
              </w:tabs>
              <w:spacing w:after="120"/>
              <w:ind w:right="984" w:firstLine="0"/>
              <w:jc w:val="both"/>
              <w:rPr>
                <w:rFonts w:ascii="Rockwell" w:eastAsia="Calibri" w:hAnsi="Rockwell" w:cs="Calibri"/>
                <w:sz w:val="24"/>
                <w:szCs w:val="24"/>
                <w:lang w:val="fr-CA"/>
              </w:rPr>
            </w:pPr>
            <w:r w:rsidRPr="0061020E">
              <w:rPr>
                <w:rFonts w:ascii="Rockwell" w:hAnsi="Rockwell"/>
                <w:sz w:val="24"/>
                <w:szCs w:val="24"/>
                <w:lang w:val="fr-CA"/>
              </w:rPr>
              <w:t>confortables : assurant des bonnes positions chez les utilisateurs (concept/idée).</w:t>
            </w:r>
          </w:p>
          <w:p w:rsidR="008C7F3C" w:rsidRPr="0061020E" w:rsidRDefault="008C7F3C" w:rsidP="008F6018">
            <w:pPr>
              <w:pStyle w:val="TableParagraph"/>
              <w:numPr>
                <w:ilvl w:val="0"/>
                <w:numId w:val="6"/>
              </w:numPr>
              <w:tabs>
                <w:tab w:val="left" w:pos="228"/>
              </w:tabs>
              <w:spacing w:after="120"/>
              <w:ind w:right="284" w:firstLine="0"/>
              <w:jc w:val="both"/>
              <w:rPr>
                <w:rFonts w:ascii="Rockwell" w:eastAsia="Calibri" w:hAnsi="Rockwell" w:cs="Calibri"/>
                <w:sz w:val="24"/>
                <w:szCs w:val="24"/>
                <w:lang w:val="fr-CA"/>
              </w:rPr>
            </w:pPr>
            <w:r w:rsidRPr="0061020E">
              <w:rPr>
                <w:rFonts w:ascii="Rockwell" w:hAnsi="Rockwell"/>
                <w:sz w:val="24"/>
                <w:szCs w:val="24"/>
                <w:lang w:val="fr-CA"/>
              </w:rPr>
              <w:t>garantissant la sécurité pour les utilisateurs : réduire les risques de blessures corporelles ou accrocs aux vêtements (performances</w:t>
            </w:r>
            <w:r w:rsidRPr="0061020E">
              <w:rPr>
                <w:rFonts w:ascii="Rockwell" w:hAnsi="Rockwell"/>
                <w:spacing w:val="-24"/>
                <w:sz w:val="24"/>
                <w:szCs w:val="24"/>
                <w:lang w:val="fr-CA"/>
              </w:rPr>
              <w:t xml:space="preserve"> </w:t>
            </w:r>
            <w:r w:rsidRPr="0061020E">
              <w:rPr>
                <w:rFonts w:ascii="Rockwell" w:hAnsi="Rockwell"/>
                <w:sz w:val="24"/>
                <w:szCs w:val="24"/>
                <w:lang w:val="fr-CA"/>
              </w:rPr>
              <w:t>requises).</w:t>
            </w:r>
          </w:p>
        </w:tc>
      </w:tr>
      <w:tr w:rsidR="008C7F3C" w:rsidRPr="006847BA" w:rsidTr="008A29E3">
        <w:trPr>
          <w:trHeight w:hRule="exact" w:val="2853"/>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20"/>
              <w:jc w:val="both"/>
              <w:rPr>
                <w:rFonts w:ascii="Rockwell" w:eastAsia="Calibri" w:hAnsi="Rockwell" w:cs="Calibri"/>
                <w:sz w:val="24"/>
                <w:szCs w:val="24"/>
                <w:lang w:val="fr-CA"/>
              </w:rPr>
            </w:pPr>
            <w:r w:rsidRPr="0061020E">
              <w:rPr>
                <w:rFonts w:ascii="Rockwell" w:hAnsi="Rockwell"/>
                <w:b/>
                <w:sz w:val="24"/>
                <w:szCs w:val="24"/>
                <w:lang w:val="fr-CA"/>
              </w:rPr>
              <w:t>2. RECHERCHE ET ACCES AUX</w:t>
            </w:r>
            <w:r w:rsidRPr="0061020E">
              <w:rPr>
                <w:rFonts w:ascii="Rockwell" w:hAnsi="Rockwell"/>
                <w:b/>
                <w:spacing w:val="-3"/>
                <w:sz w:val="24"/>
                <w:szCs w:val="24"/>
                <w:lang w:val="fr-CA"/>
              </w:rPr>
              <w:t xml:space="preserve"> </w:t>
            </w:r>
            <w:r w:rsidRPr="0061020E">
              <w:rPr>
                <w:rFonts w:ascii="Rockwell" w:hAnsi="Rockwell"/>
                <w:b/>
                <w:sz w:val="24"/>
                <w:szCs w:val="24"/>
                <w:lang w:val="fr-CA"/>
              </w:rPr>
              <w:t>NORMES</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727999">
            <w:pPr>
              <w:pStyle w:val="TableParagraph"/>
              <w:spacing w:after="120"/>
              <w:ind w:left="131" w:right="129"/>
              <w:jc w:val="both"/>
              <w:rPr>
                <w:rFonts w:ascii="Rockwell" w:eastAsia="Calibri" w:hAnsi="Rockwell" w:cs="Calibri"/>
                <w:sz w:val="24"/>
                <w:szCs w:val="24"/>
                <w:lang w:val="fr-CA"/>
              </w:rPr>
            </w:pPr>
            <w:r w:rsidRPr="0061020E">
              <w:rPr>
                <w:rFonts w:ascii="Rockwell" w:eastAsia="Calibri" w:hAnsi="Rockwell" w:cs="Calibri"/>
                <w:sz w:val="24"/>
                <w:szCs w:val="24"/>
                <w:lang w:val="fr-CA"/>
              </w:rPr>
              <w:t>La base de données normative accessible</w:t>
            </w:r>
            <w:r w:rsidR="003A48AC">
              <w:rPr>
                <w:rFonts w:ascii="Rockwell" w:eastAsia="Calibri" w:hAnsi="Rockwell" w:cs="Calibri"/>
                <w:sz w:val="24"/>
                <w:szCs w:val="24"/>
                <w:lang w:val="fr-CA"/>
              </w:rPr>
              <w:t>,</w:t>
            </w:r>
            <w:r w:rsidRPr="0061020E">
              <w:rPr>
                <w:rFonts w:ascii="Rockwell" w:eastAsia="Calibri" w:hAnsi="Rockwell" w:cs="Calibri"/>
                <w:sz w:val="24"/>
                <w:szCs w:val="24"/>
                <w:lang w:val="fr-CA"/>
              </w:rPr>
              <w:t xml:space="preserve"> au niveau de l’ABNORM ou sur les sites de l’ISO/CEI/IUT</w:t>
            </w:r>
          </w:p>
        </w:tc>
        <w:tc>
          <w:tcPr>
            <w:tcW w:w="5381" w:type="dxa"/>
            <w:tcBorders>
              <w:top w:val="single" w:sz="8" w:space="0" w:color="000000"/>
              <w:left w:val="single" w:sz="8" w:space="0" w:color="000000"/>
              <w:bottom w:val="single" w:sz="8" w:space="0" w:color="000000"/>
              <w:right w:val="single" w:sz="17" w:space="0" w:color="000000"/>
            </w:tcBorders>
          </w:tcPr>
          <w:p w:rsidR="008C7F3C" w:rsidRPr="0061020E" w:rsidRDefault="008C7F3C" w:rsidP="008F6018">
            <w:pPr>
              <w:pStyle w:val="TableParagraph"/>
              <w:spacing w:after="120"/>
              <w:ind w:left="132" w:right="78"/>
              <w:jc w:val="both"/>
              <w:rPr>
                <w:rFonts w:ascii="Rockwell" w:eastAsia="Calibri" w:hAnsi="Rockwell" w:cs="Calibri"/>
                <w:sz w:val="24"/>
                <w:szCs w:val="24"/>
                <w:lang w:val="fr-CA"/>
              </w:rPr>
            </w:pPr>
            <w:r w:rsidRPr="0061020E">
              <w:rPr>
                <w:rFonts w:ascii="Rockwell" w:eastAsia="Calibri" w:hAnsi="Rockwell" w:cs="Calibri"/>
                <w:sz w:val="24"/>
                <w:szCs w:val="24"/>
                <w:lang w:val="fr-CA"/>
              </w:rPr>
              <w:t>Rechercher les normes pertinentes pour l’achat  par</w:t>
            </w:r>
            <w:r w:rsidRPr="0061020E">
              <w:rPr>
                <w:rFonts w:ascii="Rockwell" w:eastAsia="Calibri" w:hAnsi="Rockwell" w:cs="Calibri"/>
                <w:spacing w:val="34"/>
                <w:sz w:val="24"/>
                <w:szCs w:val="24"/>
                <w:lang w:val="fr-CA"/>
              </w:rPr>
              <w:t xml:space="preserve"> </w:t>
            </w:r>
            <w:r w:rsidRPr="0061020E">
              <w:rPr>
                <w:rFonts w:ascii="Rockwell" w:eastAsia="Calibri" w:hAnsi="Rockwell" w:cs="Calibri"/>
                <w:sz w:val="24"/>
                <w:szCs w:val="24"/>
                <w:lang w:val="fr-CA"/>
              </w:rPr>
              <w:t>:</w:t>
            </w:r>
          </w:p>
          <w:p w:rsidR="008C7F3C" w:rsidRPr="0061020E" w:rsidRDefault="008C7F3C" w:rsidP="008F6018">
            <w:pPr>
              <w:pStyle w:val="TableParagraph"/>
              <w:numPr>
                <w:ilvl w:val="0"/>
                <w:numId w:val="5"/>
              </w:numPr>
              <w:tabs>
                <w:tab w:val="left" w:pos="852"/>
              </w:tabs>
              <w:spacing w:after="120"/>
              <w:jc w:val="both"/>
              <w:rPr>
                <w:rFonts w:ascii="Rockwell" w:eastAsia="Calibri" w:hAnsi="Rockwell" w:cs="Calibri"/>
                <w:sz w:val="24"/>
                <w:szCs w:val="24"/>
                <w:lang w:val="fr-CA"/>
              </w:rPr>
            </w:pPr>
            <w:r w:rsidRPr="0061020E">
              <w:rPr>
                <w:rFonts w:ascii="Rockwell" w:hAnsi="Rockwell"/>
                <w:sz w:val="24"/>
                <w:szCs w:val="24"/>
                <w:lang w:val="fr-CA"/>
              </w:rPr>
              <w:t>la classification internationale des normes</w:t>
            </w:r>
            <w:r w:rsidRPr="0061020E">
              <w:rPr>
                <w:rFonts w:ascii="Rockwell" w:hAnsi="Rockwell"/>
                <w:spacing w:val="-24"/>
                <w:sz w:val="24"/>
                <w:szCs w:val="24"/>
                <w:lang w:val="fr-CA"/>
              </w:rPr>
              <w:t xml:space="preserve"> </w:t>
            </w:r>
            <w:r w:rsidRPr="0061020E">
              <w:rPr>
                <w:rFonts w:ascii="Rockwell" w:hAnsi="Rockwell"/>
                <w:sz w:val="24"/>
                <w:szCs w:val="24"/>
                <w:lang w:val="fr-CA"/>
              </w:rPr>
              <w:t>(ICS),</w:t>
            </w:r>
          </w:p>
          <w:p w:rsidR="008C7F3C" w:rsidRPr="0061020E" w:rsidRDefault="008C7F3C" w:rsidP="008F6018">
            <w:pPr>
              <w:pStyle w:val="TableParagraph"/>
              <w:numPr>
                <w:ilvl w:val="0"/>
                <w:numId w:val="5"/>
              </w:numPr>
              <w:tabs>
                <w:tab w:val="left" w:pos="852"/>
              </w:tabs>
              <w:spacing w:after="120"/>
              <w:jc w:val="both"/>
              <w:rPr>
                <w:rFonts w:ascii="Rockwell" w:eastAsia="Calibri" w:hAnsi="Rockwell" w:cs="Calibri"/>
                <w:sz w:val="24"/>
                <w:szCs w:val="24"/>
              </w:rPr>
            </w:pPr>
            <w:r w:rsidRPr="0061020E">
              <w:rPr>
                <w:rFonts w:ascii="Rockwell" w:hAnsi="Rockwell"/>
                <w:sz w:val="24"/>
                <w:szCs w:val="24"/>
              </w:rPr>
              <w:t xml:space="preserve">les </w:t>
            </w:r>
            <w:r w:rsidRPr="0061020E">
              <w:rPr>
                <w:rFonts w:ascii="Rockwell" w:hAnsi="Rockwell"/>
                <w:sz w:val="24"/>
                <w:szCs w:val="24"/>
                <w:lang w:val="fr-FR"/>
              </w:rPr>
              <w:t>comités</w:t>
            </w:r>
            <w:r w:rsidRPr="0061020E">
              <w:rPr>
                <w:rFonts w:ascii="Rockwell" w:hAnsi="Rockwell"/>
                <w:sz w:val="24"/>
                <w:szCs w:val="24"/>
              </w:rPr>
              <w:t xml:space="preserve"> techniques</w:t>
            </w:r>
            <w:r w:rsidRPr="0061020E">
              <w:rPr>
                <w:rFonts w:ascii="Rockwell" w:hAnsi="Rockwell"/>
                <w:spacing w:val="-15"/>
                <w:sz w:val="24"/>
                <w:szCs w:val="24"/>
              </w:rPr>
              <w:t xml:space="preserve"> </w:t>
            </w:r>
            <w:r w:rsidRPr="0061020E">
              <w:rPr>
                <w:rFonts w:ascii="Rockwell" w:hAnsi="Rockwell"/>
                <w:sz w:val="24"/>
                <w:szCs w:val="24"/>
              </w:rPr>
              <w:t>(CT),</w:t>
            </w:r>
          </w:p>
          <w:p w:rsidR="008C7F3C" w:rsidRPr="0061020E" w:rsidRDefault="003A48AC" w:rsidP="008F6018">
            <w:pPr>
              <w:pStyle w:val="TableParagraph"/>
              <w:numPr>
                <w:ilvl w:val="0"/>
                <w:numId w:val="5"/>
              </w:numPr>
              <w:tabs>
                <w:tab w:val="left" w:pos="852"/>
              </w:tabs>
              <w:spacing w:after="120"/>
              <w:jc w:val="both"/>
              <w:rPr>
                <w:rFonts w:ascii="Rockwell" w:eastAsia="Calibri" w:hAnsi="Rockwell" w:cs="Calibri"/>
                <w:sz w:val="24"/>
                <w:szCs w:val="24"/>
                <w:lang w:val="fr-CA"/>
              </w:rPr>
            </w:pPr>
            <w:r>
              <w:rPr>
                <w:rFonts w:ascii="Rockwell" w:eastAsia="Calibri" w:hAnsi="Rockwell" w:cs="Calibri"/>
                <w:sz w:val="24"/>
                <w:szCs w:val="24"/>
                <w:lang w:val="fr-CA"/>
              </w:rPr>
              <w:t>les mots</w:t>
            </w:r>
            <w:r w:rsidR="009C1094">
              <w:rPr>
                <w:rFonts w:ascii="Rockwell" w:eastAsia="Calibri" w:hAnsi="Rockwell" w:cs="Calibri"/>
                <w:sz w:val="24"/>
                <w:szCs w:val="24"/>
                <w:lang w:val="fr-CA"/>
              </w:rPr>
              <w:t xml:space="preserve"> </w:t>
            </w:r>
            <w:r w:rsidR="008C7F3C" w:rsidRPr="0061020E">
              <w:rPr>
                <w:rFonts w:ascii="Rockwell" w:eastAsia="Calibri" w:hAnsi="Rockwell" w:cs="Calibri"/>
                <w:sz w:val="24"/>
                <w:szCs w:val="24"/>
                <w:lang w:val="fr-CA"/>
              </w:rPr>
              <w:t>clefs (cas dans notre exemple d’achat)</w:t>
            </w:r>
            <w:r w:rsidR="008C7F3C" w:rsidRPr="0061020E">
              <w:rPr>
                <w:rFonts w:ascii="Rockwell" w:eastAsia="Calibri" w:hAnsi="Rockwell" w:cs="Calibri"/>
                <w:spacing w:val="-19"/>
                <w:sz w:val="24"/>
                <w:szCs w:val="24"/>
                <w:lang w:val="fr-CA"/>
              </w:rPr>
              <w:t xml:space="preserve"> </w:t>
            </w:r>
            <w:r w:rsidR="008C7F3C" w:rsidRPr="0061020E">
              <w:rPr>
                <w:rFonts w:ascii="Rockwell" w:eastAsia="Calibri" w:hAnsi="Rockwell" w:cs="Calibri"/>
                <w:sz w:val="24"/>
                <w:szCs w:val="24"/>
                <w:lang w:val="fr-CA"/>
              </w:rPr>
              <w:t>et/ou</w:t>
            </w:r>
          </w:p>
          <w:p w:rsidR="008C7F3C" w:rsidRPr="0061020E" w:rsidRDefault="008C7F3C" w:rsidP="008F6018">
            <w:pPr>
              <w:pStyle w:val="TableParagraph"/>
              <w:numPr>
                <w:ilvl w:val="0"/>
                <w:numId w:val="5"/>
              </w:numPr>
              <w:tabs>
                <w:tab w:val="left" w:pos="852"/>
              </w:tabs>
              <w:spacing w:after="120"/>
              <w:jc w:val="both"/>
              <w:rPr>
                <w:rFonts w:ascii="Rockwell" w:eastAsia="Calibri" w:hAnsi="Rockwell" w:cs="Calibri"/>
                <w:sz w:val="24"/>
                <w:szCs w:val="24"/>
                <w:lang w:val="fr-CA"/>
              </w:rPr>
            </w:pPr>
            <w:r w:rsidRPr="0061020E">
              <w:rPr>
                <w:rFonts w:ascii="Rockwell" w:hAnsi="Rockwell"/>
                <w:sz w:val="24"/>
                <w:szCs w:val="24"/>
                <w:lang w:val="fr-CA"/>
              </w:rPr>
              <w:t>les numéros de référence des</w:t>
            </w:r>
            <w:r w:rsidRPr="0061020E">
              <w:rPr>
                <w:rFonts w:ascii="Rockwell" w:hAnsi="Rockwell"/>
                <w:spacing w:val="-16"/>
                <w:sz w:val="24"/>
                <w:szCs w:val="24"/>
                <w:lang w:val="fr-CA"/>
              </w:rPr>
              <w:t xml:space="preserve"> </w:t>
            </w:r>
            <w:r w:rsidRPr="0061020E">
              <w:rPr>
                <w:rFonts w:ascii="Rockwell" w:hAnsi="Rockwell"/>
                <w:sz w:val="24"/>
                <w:szCs w:val="24"/>
                <w:lang w:val="fr-CA"/>
              </w:rPr>
              <w:t>normes</w:t>
            </w:r>
            <w:r w:rsidR="000B5FB3">
              <w:rPr>
                <w:rFonts w:ascii="Rockwell" w:hAnsi="Rockwell"/>
                <w:sz w:val="24"/>
                <w:szCs w:val="24"/>
                <w:lang w:val="fr-CA"/>
              </w:rPr>
              <w:t>.</w:t>
            </w:r>
          </w:p>
        </w:tc>
      </w:tr>
      <w:tr w:rsidR="008C7F3C" w:rsidRPr="006847BA" w:rsidTr="00AE30D2">
        <w:trPr>
          <w:trHeight w:hRule="exact" w:val="5016"/>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20"/>
              <w:jc w:val="both"/>
              <w:rPr>
                <w:rFonts w:ascii="Rockwell" w:eastAsia="Calibri" w:hAnsi="Rockwell" w:cs="Calibri"/>
                <w:sz w:val="24"/>
                <w:szCs w:val="24"/>
              </w:rPr>
            </w:pPr>
            <w:r w:rsidRPr="0061020E">
              <w:rPr>
                <w:rFonts w:ascii="Rockwell" w:hAnsi="Rockwell"/>
                <w:b/>
                <w:sz w:val="24"/>
                <w:szCs w:val="24"/>
              </w:rPr>
              <w:t>3. SELECTION DE LA NORME</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727999">
            <w:pPr>
              <w:pStyle w:val="TableParagraph"/>
              <w:spacing w:after="120"/>
              <w:ind w:left="131" w:right="129"/>
              <w:jc w:val="both"/>
              <w:rPr>
                <w:rFonts w:ascii="Rockwell" w:eastAsia="Calibri" w:hAnsi="Rockwell" w:cs="Calibri"/>
                <w:sz w:val="24"/>
                <w:szCs w:val="24"/>
                <w:lang w:val="fr-CA"/>
              </w:rPr>
            </w:pPr>
            <w:r w:rsidRPr="00727999">
              <w:rPr>
                <w:rFonts w:ascii="Rockwell" w:eastAsia="Calibri" w:hAnsi="Rockwell" w:cs="Calibri"/>
                <w:sz w:val="24"/>
                <w:szCs w:val="24"/>
                <w:lang w:val="fr-CA"/>
              </w:rPr>
              <w:t>Référence</w:t>
            </w:r>
            <w:r w:rsidRPr="0061020E">
              <w:rPr>
                <w:rFonts w:ascii="Rockwell" w:hAnsi="Rockwell"/>
                <w:sz w:val="24"/>
                <w:szCs w:val="24"/>
                <w:lang w:val="fr-CA"/>
              </w:rPr>
              <w:t xml:space="preserve"> à des normes nationales ou internationales</w:t>
            </w:r>
          </w:p>
          <w:p w:rsidR="001E2201" w:rsidRDefault="008C7F3C" w:rsidP="008F6018">
            <w:pPr>
              <w:pStyle w:val="TableParagraph"/>
              <w:spacing w:after="120"/>
              <w:ind w:left="47" w:right="77"/>
              <w:jc w:val="both"/>
              <w:rPr>
                <w:rFonts w:ascii="Rockwell" w:eastAsia="Calibri" w:hAnsi="Rockwell" w:cs="Calibri"/>
                <w:sz w:val="24"/>
                <w:szCs w:val="24"/>
                <w:lang w:val="fr-CA"/>
              </w:rPr>
            </w:pPr>
            <w:r w:rsidRPr="0061020E">
              <w:rPr>
                <w:rFonts w:ascii="Rockwell" w:eastAsia="Calibri" w:hAnsi="Rockwell" w:cs="Calibri"/>
                <w:sz w:val="24"/>
                <w:szCs w:val="24"/>
                <w:lang w:val="fr-CA"/>
              </w:rPr>
              <w:t xml:space="preserve">Si aucune norme </w:t>
            </w:r>
            <w:r w:rsidR="003A48AC">
              <w:rPr>
                <w:rFonts w:ascii="Rockwell" w:eastAsia="Calibri" w:hAnsi="Rockwell" w:cs="Calibri"/>
                <w:sz w:val="24"/>
                <w:szCs w:val="24"/>
                <w:lang w:val="fr-CA"/>
              </w:rPr>
              <w:t>b</w:t>
            </w:r>
            <w:r w:rsidRPr="0061020E">
              <w:rPr>
                <w:rFonts w:ascii="Rockwell" w:eastAsia="Calibri" w:hAnsi="Rockwell" w:cs="Calibri"/>
                <w:sz w:val="24"/>
                <w:szCs w:val="24"/>
                <w:lang w:val="fr-CA"/>
              </w:rPr>
              <w:t>urkinab</w:t>
            </w:r>
            <w:r w:rsidR="003A48AC">
              <w:rPr>
                <w:rFonts w:ascii="Rockwell" w:eastAsia="Calibri" w:hAnsi="Rockwell" w:cs="Calibri"/>
                <w:sz w:val="24"/>
                <w:szCs w:val="24"/>
                <w:lang w:val="fr-CA"/>
              </w:rPr>
              <w:t>è</w:t>
            </w:r>
            <w:r w:rsidRPr="0061020E">
              <w:rPr>
                <w:rFonts w:ascii="Rockwell" w:eastAsia="Calibri" w:hAnsi="Rockwell" w:cs="Calibri"/>
                <w:sz w:val="24"/>
                <w:szCs w:val="24"/>
                <w:lang w:val="fr-CA"/>
              </w:rPr>
              <w:t xml:space="preserve"> n’est disponible, une norme internationale </w:t>
            </w:r>
          </w:p>
          <w:p w:rsidR="008C7F3C" w:rsidRPr="0061020E" w:rsidRDefault="008C7F3C" w:rsidP="008F6018">
            <w:pPr>
              <w:pStyle w:val="TableParagraph"/>
              <w:spacing w:after="120"/>
              <w:ind w:left="47" w:right="77"/>
              <w:jc w:val="both"/>
              <w:rPr>
                <w:rFonts w:ascii="Rockwell" w:eastAsia="Calibri" w:hAnsi="Rockwell" w:cs="Calibri"/>
                <w:sz w:val="24"/>
                <w:szCs w:val="24"/>
                <w:lang w:val="fr-CA"/>
              </w:rPr>
            </w:pPr>
            <w:r w:rsidRPr="0061020E">
              <w:rPr>
                <w:rFonts w:ascii="Rockwell" w:eastAsia="Calibri" w:hAnsi="Rockwell" w:cs="Calibri"/>
                <w:sz w:val="24"/>
                <w:szCs w:val="24"/>
                <w:lang w:val="fr-CA"/>
              </w:rPr>
              <w:t>ISO ou CEI peut être choisie</w:t>
            </w:r>
          </w:p>
        </w:tc>
        <w:tc>
          <w:tcPr>
            <w:tcW w:w="5381" w:type="dxa"/>
            <w:tcBorders>
              <w:top w:val="single" w:sz="8" w:space="0" w:color="000000"/>
              <w:left w:val="single" w:sz="8" w:space="0" w:color="000000"/>
              <w:bottom w:val="single" w:sz="8" w:space="0" w:color="000000"/>
              <w:right w:val="single" w:sz="17" w:space="0" w:color="000000"/>
            </w:tcBorders>
          </w:tcPr>
          <w:p w:rsidR="008C7F3C" w:rsidRPr="0061020E" w:rsidRDefault="008C7F3C" w:rsidP="008F6018">
            <w:pPr>
              <w:pStyle w:val="TableParagraph"/>
              <w:spacing w:after="120"/>
              <w:ind w:left="98" w:right="78"/>
              <w:jc w:val="both"/>
              <w:rPr>
                <w:rFonts w:ascii="Rockwell" w:eastAsia="Calibri" w:hAnsi="Rockwell" w:cs="Calibri"/>
                <w:sz w:val="24"/>
                <w:szCs w:val="24"/>
                <w:lang w:val="fr-CA"/>
              </w:rPr>
            </w:pPr>
            <w:r w:rsidRPr="0061020E">
              <w:rPr>
                <w:rFonts w:ascii="Rockwell" w:eastAsia="Calibri" w:hAnsi="Rockwell" w:cs="Calibri"/>
                <w:sz w:val="24"/>
                <w:szCs w:val="24"/>
                <w:lang w:val="fr-CA"/>
              </w:rPr>
              <w:t>L’établissement a décidé d’utiliser des normes EN et a sélectionné 5 normes.</w:t>
            </w:r>
          </w:p>
          <w:p w:rsidR="008C7F3C" w:rsidRPr="0061020E" w:rsidRDefault="008C7F3C" w:rsidP="008F6018">
            <w:pPr>
              <w:pStyle w:val="TableParagraph"/>
              <w:spacing w:after="120"/>
              <w:ind w:left="98" w:right="78"/>
              <w:jc w:val="both"/>
              <w:rPr>
                <w:rFonts w:ascii="Rockwell" w:eastAsia="Calibri" w:hAnsi="Rockwell" w:cs="Calibri"/>
                <w:sz w:val="24"/>
                <w:szCs w:val="24"/>
                <w:lang w:val="fr-CA"/>
              </w:rPr>
            </w:pPr>
            <w:r w:rsidRPr="0061020E">
              <w:rPr>
                <w:rFonts w:ascii="Rockwell" w:eastAsia="Calibri" w:hAnsi="Rockwell" w:cs="Calibri"/>
                <w:sz w:val="24"/>
                <w:szCs w:val="24"/>
                <w:lang w:val="fr-CA"/>
              </w:rPr>
              <w:t>* Mesure de la performance - méthode d’essai pour mesurer</w:t>
            </w:r>
            <w:r w:rsidRPr="0061020E">
              <w:rPr>
                <w:rFonts w:ascii="Rockwell" w:eastAsia="Calibri" w:hAnsi="Rockwell" w:cs="Calibri"/>
                <w:spacing w:val="-16"/>
                <w:sz w:val="24"/>
                <w:szCs w:val="24"/>
                <w:lang w:val="fr-CA"/>
              </w:rPr>
              <w:t xml:space="preserve"> </w:t>
            </w:r>
            <w:r w:rsidRPr="0061020E">
              <w:rPr>
                <w:rFonts w:ascii="Rockwell" w:eastAsia="Calibri" w:hAnsi="Rockwell" w:cs="Calibri"/>
                <w:sz w:val="24"/>
                <w:szCs w:val="24"/>
                <w:lang w:val="fr-CA"/>
              </w:rPr>
              <w:t>:</w:t>
            </w:r>
          </w:p>
          <w:p w:rsidR="008C7F3C" w:rsidRPr="0061020E" w:rsidRDefault="003A48AC" w:rsidP="008F6018">
            <w:pPr>
              <w:pStyle w:val="TableParagraph"/>
              <w:spacing w:after="120"/>
              <w:ind w:left="98" w:right="78"/>
              <w:jc w:val="both"/>
              <w:rPr>
                <w:rFonts w:ascii="Rockwell" w:eastAsia="Calibri" w:hAnsi="Rockwell" w:cs="Calibri"/>
                <w:sz w:val="24"/>
                <w:szCs w:val="24"/>
                <w:lang w:val="fr-CA"/>
              </w:rPr>
            </w:pPr>
            <w:r>
              <w:rPr>
                <w:rFonts w:ascii="Rockwell" w:hAnsi="Rockwell"/>
                <w:sz w:val="24"/>
                <w:szCs w:val="24"/>
                <w:lang w:val="fr-CA"/>
              </w:rPr>
              <w:t>- l</w:t>
            </w:r>
            <w:r w:rsidR="008C7F3C" w:rsidRPr="0061020E">
              <w:rPr>
                <w:rFonts w:ascii="Rockwell" w:hAnsi="Rockwell"/>
                <w:sz w:val="24"/>
                <w:szCs w:val="24"/>
                <w:lang w:val="fr-CA"/>
              </w:rPr>
              <w:t>a stabilité et la résistance des chaises et des tables : EN 1729-2</w:t>
            </w:r>
            <w:r w:rsidR="008C7F3C" w:rsidRPr="0061020E">
              <w:rPr>
                <w:rFonts w:ascii="Rockwell" w:hAnsi="Rockwell"/>
                <w:spacing w:val="-23"/>
                <w:sz w:val="24"/>
                <w:szCs w:val="24"/>
                <w:lang w:val="fr-CA"/>
              </w:rPr>
              <w:t xml:space="preserve"> </w:t>
            </w:r>
            <w:r w:rsidR="008C7F3C" w:rsidRPr="0061020E">
              <w:rPr>
                <w:rFonts w:ascii="Rockwell" w:hAnsi="Rockwell"/>
                <w:sz w:val="24"/>
                <w:szCs w:val="24"/>
                <w:lang w:val="fr-CA"/>
              </w:rPr>
              <w:t>(1).</w:t>
            </w:r>
          </w:p>
          <w:p w:rsidR="008C7F3C" w:rsidRPr="0061020E" w:rsidRDefault="003A48AC" w:rsidP="008F6018">
            <w:pPr>
              <w:pStyle w:val="TableParagraph"/>
              <w:numPr>
                <w:ilvl w:val="0"/>
                <w:numId w:val="4"/>
              </w:numPr>
              <w:tabs>
                <w:tab w:val="left" w:pos="228"/>
              </w:tabs>
              <w:spacing w:after="120"/>
              <w:jc w:val="both"/>
              <w:rPr>
                <w:rFonts w:ascii="Rockwell" w:eastAsia="Calibri" w:hAnsi="Rockwell" w:cs="Calibri"/>
                <w:sz w:val="24"/>
                <w:szCs w:val="24"/>
                <w:lang w:val="fr-CA"/>
              </w:rPr>
            </w:pPr>
            <w:r>
              <w:rPr>
                <w:rFonts w:ascii="Rockwell" w:hAnsi="Rockwell"/>
                <w:sz w:val="24"/>
                <w:szCs w:val="24"/>
                <w:lang w:val="fr-CA"/>
              </w:rPr>
              <w:t xml:space="preserve">la stabilité des </w:t>
            </w:r>
            <w:r w:rsidR="008C7F3C" w:rsidRPr="0061020E">
              <w:rPr>
                <w:rFonts w:ascii="Rockwell" w:hAnsi="Rockwell"/>
                <w:sz w:val="24"/>
                <w:szCs w:val="24"/>
                <w:lang w:val="fr-CA"/>
              </w:rPr>
              <w:t>sièges: EN 1022</w:t>
            </w:r>
            <w:r w:rsidR="008C7F3C" w:rsidRPr="0061020E">
              <w:rPr>
                <w:rFonts w:ascii="Rockwell" w:hAnsi="Rockwell"/>
                <w:spacing w:val="-16"/>
                <w:sz w:val="24"/>
                <w:szCs w:val="24"/>
                <w:lang w:val="fr-CA"/>
              </w:rPr>
              <w:t xml:space="preserve"> </w:t>
            </w:r>
            <w:r w:rsidR="008C7F3C" w:rsidRPr="0061020E">
              <w:rPr>
                <w:rFonts w:ascii="Rockwell" w:hAnsi="Rockwell"/>
                <w:sz w:val="24"/>
                <w:szCs w:val="24"/>
                <w:lang w:val="fr-CA"/>
              </w:rPr>
              <w:t>(2)</w:t>
            </w:r>
          </w:p>
          <w:p w:rsidR="008C7F3C" w:rsidRPr="0061020E" w:rsidRDefault="008C7F3C" w:rsidP="008F6018">
            <w:pPr>
              <w:pStyle w:val="TableParagraph"/>
              <w:numPr>
                <w:ilvl w:val="0"/>
                <w:numId w:val="4"/>
              </w:numPr>
              <w:tabs>
                <w:tab w:val="left" w:pos="228"/>
              </w:tabs>
              <w:spacing w:after="120"/>
              <w:jc w:val="both"/>
              <w:rPr>
                <w:rFonts w:ascii="Rockwell" w:eastAsia="Calibri" w:hAnsi="Rockwell" w:cs="Calibri"/>
                <w:sz w:val="24"/>
                <w:szCs w:val="24"/>
                <w:lang w:val="fr-CA"/>
              </w:rPr>
            </w:pPr>
            <w:r w:rsidRPr="0061020E">
              <w:rPr>
                <w:rFonts w:ascii="Rockwell" w:hAnsi="Rockwell"/>
                <w:sz w:val="24"/>
                <w:szCs w:val="24"/>
                <w:lang w:val="fr-CA"/>
              </w:rPr>
              <w:t>la résistance et la durabilité des sièges: EN 1728</w:t>
            </w:r>
            <w:r w:rsidRPr="0061020E">
              <w:rPr>
                <w:rFonts w:ascii="Rockwell" w:hAnsi="Rockwell"/>
                <w:spacing w:val="34"/>
                <w:sz w:val="24"/>
                <w:szCs w:val="24"/>
                <w:lang w:val="fr-CA"/>
              </w:rPr>
              <w:t xml:space="preserve"> </w:t>
            </w:r>
            <w:r w:rsidRPr="0061020E">
              <w:rPr>
                <w:rFonts w:ascii="Rockwell" w:hAnsi="Rockwell"/>
                <w:sz w:val="24"/>
                <w:szCs w:val="24"/>
                <w:lang w:val="fr-CA"/>
              </w:rPr>
              <w:t>(3)</w:t>
            </w:r>
          </w:p>
          <w:p w:rsidR="008C7F3C" w:rsidRPr="0061020E" w:rsidRDefault="008C7F3C" w:rsidP="008F6018">
            <w:pPr>
              <w:pStyle w:val="TableParagraph"/>
              <w:numPr>
                <w:ilvl w:val="0"/>
                <w:numId w:val="4"/>
              </w:numPr>
              <w:tabs>
                <w:tab w:val="left" w:pos="228"/>
              </w:tabs>
              <w:spacing w:after="120"/>
              <w:jc w:val="both"/>
              <w:rPr>
                <w:rFonts w:ascii="Rockwell" w:eastAsia="Calibri" w:hAnsi="Rockwell" w:cs="Calibri"/>
                <w:sz w:val="24"/>
                <w:szCs w:val="24"/>
                <w:lang w:val="fr-CA"/>
              </w:rPr>
            </w:pPr>
            <w:r w:rsidRPr="0061020E">
              <w:rPr>
                <w:rFonts w:ascii="Rockwell" w:hAnsi="Rockwell"/>
                <w:sz w:val="24"/>
                <w:szCs w:val="24"/>
                <w:lang w:val="fr-CA"/>
              </w:rPr>
              <w:t>la résistance et la durabilité des tables : EN 1730</w:t>
            </w:r>
            <w:r w:rsidRPr="0061020E">
              <w:rPr>
                <w:rFonts w:ascii="Rockwell" w:hAnsi="Rockwell"/>
                <w:spacing w:val="-20"/>
                <w:sz w:val="24"/>
                <w:szCs w:val="24"/>
                <w:lang w:val="fr-CA"/>
              </w:rPr>
              <w:t xml:space="preserve"> </w:t>
            </w:r>
            <w:r w:rsidRPr="0061020E">
              <w:rPr>
                <w:rFonts w:ascii="Rockwell" w:hAnsi="Rockwell"/>
                <w:sz w:val="24"/>
                <w:szCs w:val="24"/>
                <w:lang w:val="fr-CA"/>
              </w:rPr>
              <w:t>(4)</w:t>
            </w:r>
          </w:p>
          <w:p w:rsidR="008C7F3C" w:rsidRPr="0061020E" w:rsidRDefault="008C7F3C" w:rsidP="008F6018">
            <w:pPr>
              <w:pStyle w:val="TableParagraph"/>
              <w:numPr>
                <w:ilvl w:val="0"/>
                <w:numId w:val="4"/>
              </w:numPr>
              <w:tabs>
                <w:tab w:val="left" w:pos="228"/>
              </w:tabs>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Confort du produit :</w:t>
            </w:r>
          </w:p>
          <w:p w:rsidR="008C7F3C" w:rsidRPr="0061020E" w:rsidRDefault="008C7F3C" w:rsidP="008F6018">
            <w:pPr>
              <w:pStyle w:val="TableParagraph"/>
              <w:numPr>
                <w:ilvl w:val="0"/>
                <w:numId w:val="4"/>
              </w:numPr>
              <w:tabs>
                <w:tab w:val="left" w:pos="228"/>
              </w:tabs>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dimensions fonctionnelles EN 1729-1 (5)</w:t>
            </w:r>
          </w:p>
        </w:tc>
      </w:tr>
      <w:tr w:rsidR="008C7F3C" w:rsidRPr="006847BA" w:rsidTr="00083011">
        <w:trPr>
          <w:trHeight w:hRule="exact" w:val="4252"/>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20"/>
              <w:jc w:val="both"/>
              <w:rPr>
                <w:rFonts w:ascii="Rockwell" w:eastAsia="Calibri" w:hAnsi="Rockwell" w:cs="Calibri"/>
                <w:sz w:val="24"/>
                <w:szCs w:val="24"/>
                <w:lang w:val="fr-CA"/>
              </w:rPr>
            </w:pPr>
            <w:r w:rsidRPr="0061020E">
              <w:rPr>
                <w:rFonts w:ascii="Rockwell" w:hAnsi="Rockwell"/>
                <w:b/>
                <w:sz w:val="24"/>
                <w:szCs w:val="24"/>
                <w:lang w:val="fr-CA"/>
              </w:rPr>
              <w:t>4. RECHERCHE DES INFORMATIONS APPROPRIEES DANS LA NORME</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8F6018">
            <w:pPr>
              <w:pStyle w:val="TableParagraph"/>
              <w:spacing w:after="120"/>
              <w:ind w:left="131" w:right="129"/>
              <w:jc w:val="both"/>
              <w:rPr>
                <w:rFonts w:ascii="Rockwell" w:eastAsia="Calibri" w:hAnsi="Rockwell" w:cs="Calibri"/>
                <w:sz w:val="24"/>
                <w:szCs w:val="24"/>
                <w:lang w:val="fr-CA"/>
              </w:rPr>
            </w:pPr>
            <w:r w:rsidRPr="0061020E">
              <w:rPr>
                <w:rFonts w:ascii="Rockwell" w:eastAsia="Calibri" w:hAnsi="Rockwell" w:cs="Calibri"/>
                <w:sz w:val="24"/>
                <w:szCs w:val="24"/>
                <w:lang w:val="fr-CA"/>
              </w:rPr>
              <w:t>Rechercher le domaine d’application, la liste de documents référencés cités dans la norme et ses</w:t>
            </w:r>
            <w:r w:rsidRPr="0061020E">
              <w:rPr>
                <w:rFonts w:ascii="Rockwell" w:eastAsia="Calibri" w:hAnsi="Rockwell" w:cs="Calibri"/>
                <w:spacing w:val="-7"/>
                <w:sz w:val="24"/>
                <w:szCs w:val="24"/>
                <w:lang w:val="fr-CA"/>
              </w:rPr>
              <w:t xml:space="preserve"> </w:t>
            </w:r>
            <w:r w:rsidRPr="0061020E">
              <w:rPr>
                <w:rFonts w:ascii="Rockwell" w:eastAsia="Calibri" w:hAnsi="Rockwell" w:cs="Calibri"/>
                <w:sz w:val="24"/>
                <w:szCs w:val="24"/>
                <w:lang w:val="fr-CA"/>
              </w:rPr>
              <w:t>annexes</w:t>
            </w:r>
          </w:p>
        </w:tc>
        <w:tc>
          <w:tcPr>
            <w:tcW w:w="5381" w:type="dxa"/>
            <w:tcBorders>
              <w:top w:val="single" w:sz="8" w:space="0" w:color="000000"/>
              <w:left w:val="single" w:sz="8" w:space="0" w:color="000000"/>
              <w:bottom w:val="single" w:sz="8" w:space="0" w:color="000000"/>
              <w:right w:val="single" w:sz="17" w:space="0" w:color="000000"/>
            </w:tcBorders>
          </w:tcPr>
          <w:p w:rsidR="008C7F3C" w:rsidRPr="0061020E" w:rsidRDefault="008C7F3C" w:rsidP="008F6018">
            <w:pPr>
              <w:pStyle w:val="TableParagraph"/>
              <w:spacing w:after="120"/>
              <w:ind w:left="98" w:right="78"/>
              <w:jc w:val="both"/>
              <w:rPr>
                <w:rFonts w:ascii="Rockwell" w:eastAsia="Calibri" w:hAnsi="Rockwell" w:cs="Calibri"/>
                <w:sz w:val="24"/>
                <w:szCs w:val="24"/>
                <w:lang w:val="fr-CA"/>
              </w:rPr>
            </w:pPr>
            <w:r w:rsidRPr="0061020E">
              <w:rPr>
                <w:rFonts w:ascii="Rockwell" w:eastAsia="Calibri" w:hAnsi="Rockwell" w:cs="Calibri"/>
                <w:sz w:val="24"/>
                <w:szCs w:val="24"/>
                <w:lang w:val="fr-CA"/>
              </w:rPr>
              <w:t>La partie 1 de la norme EN 1729 a été identifiée par l’acheteur des établissements scolaires pour décrire les dimensions fonctionnelles des chaises et des</w:t>
            </w:r>
            <w:r w:rsidRPr="0061020E">
              <w:rPr>
                <w:rFonts w:ascii="Rockwell" w:eastAsia="Calibri" w:hAnsi="Rockwell" w:cs="Calibri"/>
                <w:spacing w:val="-5"/>
                <w:sz w:val="24"/>
                <w:szCs w:val="24"/>
                <w:lang w:val="fr-CA"/>
              </w:rPr>
              <w:t xml:space="preserve"> </w:t>
            </w:r>
            <w:r w:rsidRPr="0061020E">
              <w:rPr>
                <w:rFonts w:ascii="Rockwell" w:eastAsia="Calibri" w:hAnsi="Rockwell" w:cs="Calibri"/>
                <w:sz w:val="24"/>
                <w:szCs w:val="24"/>
                <w:lang w:val="fr-CA"/>
              </w:rPr>
              <w:t>tables.</w:t>
            </w:r>
          </w:p>
          <w:p w:rsidR="008C7F3C" w:rsidRPr="0061020E" w:rsidRDefault="008C7F3C" w:rsidP="008F6018">
            <w:pPr>
              <w:pStyle w:val="TableParagraph"/>
              <w:spacing w:after="120"/>
              <w:ind w:left="98" w:right="78"/>
              <w:jc w:val="both"/>
              <w:rPr>
                <w:rFonts w:ascii="Rockwell" w:eastAsia="Calibri" w:hAnsi="Rockwell" w:cs="Calibri"/>
                <w:sz w:val="24"/>
                <w:szCs w:val="24"/>
                <w:lang w:val="fr-CA"/>
              </w:rPr>
            </w:pPr>
            <w:r w:rsidRPr="0061020E">
              <w:rPr>
                <w:rFonts w:ascii="Rockwell" w:eastAsia="Calibri" w:hAnsi="Rockwell" w:cs="Calibri"/>
                <w:sz w:val="24"/>
                <w:szCs w:val="24"/>
                <w:lang w:val="fr-CA"/>
              </w:rPr>
              <w:t>En outre, dans la table de matière, l’acheteur a  trouvé un chapitre consacré au marquage et un autre</w:t>
            </w:r>
            <w:r w:rsidR="003A48AC">
              <w:rPr>
                <w:rFonts w:ascii="Rockwell" w:eastAsia="Calibri" w:hAnsi="Rockwell" w:cs="Calibri"/>
                <w:sz w:val="24"/>
                <w:szCs w:val="24"/>
                <w:lang w:val="fr-CA"/>
              </w:rPr>
              <w:t>,</w:t>
            </w:r>
            <w:r w:rsidRPr="0061020E">
              <w:rPr>
                <w:rFonts w:ascii="Rockwell" w:eastAsia="Calibri" w:hAnsi="Rockwell" w:cs="Calibri"/>
                <w:sz w:val="24"/>
                <w:szCs w:val="24"/>
                <w:lang w:val="fr-CA"/>
              </w:rPr>
              <w:t xml:space="preserve"> pour les instructions. Il a donc</w:t>
            </w:r>
            <w:r w:rsidRPr="0061020E">
              <w:rPr>
                <w:rFonts w:ascii="Rockwell" w:eastAsia="Calibri" w:hAnsi="Rockwell" w:cs="Calibri"/>
                <w:spacing w:val="-31"/>
                <w:sz w:val="24"/>
                <w:szCs w:val="24"/>
                <w:lang w:val="fr-CA"/>
              </w:rPr>
              <w:t xml:space="preserve"> </w:t>
            </w:r>
            <w:r w:rsidRPr="0061020E">
              <w:rPr>
                <w:rFonts w:ascii="Rockwell" w:eastAsia="Calibri" w:hAnsi="Rockwell" w:cs="Calibri"/>
                <w:sz w:val="24"/>
                <w:szCs w:val="24"/>
                <w:lang w:val="fr-CA"/>
              </w:rPr>
              <w:t>décidé</w:t>
            </w:r>
            <w:r w:rsidRPr="0061020E">
              <w:rPr>
                <w:rFonts w:ascii="Rockwell" w:eastAsia="Calibri" w:hAnsi="Rockwell" w:cs="Calibri"/>
                <w:spacing w:val="49"/>
                <w:sz w:val="24"/>
                <w:szCs w:val="24"/>
                <w:lang w:val="fr-CA"/>
              </w:rPr>
              <w:t xml:space="preserve"> </w:t>
            </w:r>
            <w:r w:rsidRPr="0061020E">
              <w:rPr>
                <w:rFonts w:ascii="Rockwell" w:eastAsia="Calibri" w:hAnsi="Rockwell" w:cs="Calibri"/>
                <w:sz w:val="24"/>
                <w:szCs w:val="24"/>
                <w:lang w:val="fr-CA"/>
              </w:rPr>
              <w:t>de</w:t>
            </w:r>
            <w:r w:rsidRPr="0061020E">
              <w:rPr>
                <w:rFonts w:ascii="Rockwell" w:eastAsia="Calibri" w:hAnsi="Rockwell" w:cs="Calibri"/>
                <w:spacing w:val="-1"/>
                <w:sz w:val="24"/>
                <w:szCs w:val="24"/>
                <w:lang w:val="fr-CA"/>
              </w:rPr>
              <w:t xml:space="preserve"> </w:t>
            </w:r>
            <w:r w:rsidRPr="0061020E">
              <w:rPr>
                <w:rFonts w:ascii="Rockwell" w:eastAsia="Calibri" w:hAnsi="Rockwell" w:cs="Calibri"/>
                <w:sz w:val="24"/>
                <w:szCs w:val="24"/>
                <w:lang w:val="fr-CA"/>
              </w:rPr>
              <w:t>préciser que le marquage des chaises et des tables doit contenir des informations sur le repère de taille et que des instructions d’entretien doivent être apposées sur les meubles ou être indiquées sur une étiquette, dans une brochure ou dans la notice</w:t>
            </w:r>
            <w:r w:rsidRPr="0061020E">
              <w:rPr>
                <w:rFonts w:ascii="Rockwell" w:eastAsia="Calibri" w:hAnsi="Rockwell" w:cs="Calibri"/>
                <w:spacing w:val="-28"/>
                <w:sz w:val="24"/>
                <w:szCs w:val="24"/>
                <w:lang w:val="fr-CA"/>
              </w:rPr>
              <w:t xml:space="preserve"> </w:t>
            </w:r>
            <w:r w:rsidRPr="0061020E">
              <w:rPr>
                <w:rFonts w:ascii="Rockwell" w:eastAsia="Calibri" w:hAnsi="Rockwell" w:cs="Calibri"/>
                <w:sz w:val="24"/>
                <w:szCs w:val="24"/>
                <w:lang w:val="fr-CA"/>
              </w:rPr>
              <w:t>d’utilisation.</w:t>
            </w:r>
          </w:p>
        </w:tc>
      </w:tr>
      <w:tr w:rsidR="008C7F3C" w:rsidRPr="006847BA" w:rsidTr="00727999">
        <w:trPr>
          <w:trHeight w:hRule="exact" w:val="2585"/>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20" w:right="230"/>
              <w:jc w:val="both"/>
              <w:rPr>
                <w:rFonts w:ascii="Rockwell" w:eastAsia="Calibri" w:hAnsi="Rockwell" w:cs="Calibri"/>
                <w:sz w:val="24"/>
                <w:szCs w:val="24"/>
              </w:rPr>
            </w:pPr>
            <w:r w:rsidRPr="0061020E">
              <w:rPr>
                <w:rFonts w:ascii="Rockwell" w:hAnsi="Rockwell"/>
                <w:b/>
                <w:sz w:val="24"/>
                <w:szCs w:val="24"/>
              </w:rPr>
              <w:t>5. INTERPRETATION DES</w:t>
            </w:r>
            <w:r w:rsidRPr="0061020E">
              <w:rPr>
                <w:rFonts w:ascii="Rockwell" w:hAnsi="Rockwell"/>
                <w:b/>
                <w:spacing w:val="-7"/>
                <w:sz w:val="24"/>
                <w:szCs w:val="24"/>
              </w:rPr>
              <w:t xml:space="preserve"> </w:t>
            </w:r>
            <w:r w:rsidRPr="0061020E">
              <w:rPr>
                <w:rFonts w:ascii="Rockwell" w:hAnsi="Rockwell"/>
                <w:b/>
                <w:sz w:val="24"/>
                <w:szCs w:val="24"/>
              </w:rPr>
              <w:t>PRESCRIPTIONS</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8F6018">
            <w:pPr>
              <w:pStyle w:val="TableParagraph"/>
              <w:spacing w:after="120"/>
              <w:ind w:left="131" w:right="74"/>
              <w:jc w:val="both"/>
              <w:rPr>
                <w:rFonts w:ascii="Rockwell" w:eastAsia="Calibri" w:hAnsi="Rockwell" w:cs="Calibri"/>
                <w:sz w:val="24"/>
                <w:szCs w:val="24"/>
                <w:lang w:val="fr-CA"/>
              </w:rPr>
            </w:pPr>
            <w:r w:rsidRPr="0061020E">
              <w:rPr>
                <w:rFonts w:ascii="Rockwell" w:hAnsi="Rockwell"/>
                <w:sz w:val="24"/>
                <w:szCs w:val="24"/>
                <w:lang w:val="fr-CA"/>
              </w:rPr>
              <w:t>Les normes de performance indiquent seulement les objectifs à atteindre et non les moyens à</w:t>
            </w:r>
            <w:r w:rsidRPr="0061020E">
              <w:rPr>
                <w:rFonts w:ascii="Rockwell" w:hAnsi="Rockwell"/>
                <w:spacing w:val="-4"/>
                <w:sz w:val="24"/>
                <w:szCs w:val="24"/>
                <w:lang w:val="fr-CA"/>
              </w:rPr>
              <w:t xml:space="preserve"> </w:t>
            </w:r>
            <w:r w:rsidRPr="0061020E">
              <w:rPr>
                <w:rFonts w:ascii="Rockwell" w:hAnsi="Rockwell"/>
                <w:sz w:val="24"/>
                <w:szCs w:val="24"/>
                <w:lang w:val="fr-CA"/>
              </w:rPr>
              <w:t>utiliser</w:t>
            </w:r>
          </w:p>
        </w:tc>
        <w:tc>
          <w:tcPr>
            <w:tcW w:w="5381" w:type="dxa"/>
            <w:tcBorders>
              <w:top w:val="single" w:sz="8" w:space="0" w:color="000000"/>
              <w:left w:val="single" w:sz="8" w:space="0" w:color="000000"/>
              <w:bottom w:val="single" w:sz="8" w:space="0" w:color="000000"/>
              <w:right w:val="single" w:sz="17" w:space="0" w:color="000000"/>
            </w:tcBorders>
          </w:tcPr>
          <w:p w:rsidR="00727999" w:rsidRPr="00727999" w:rsidRDefault="008C7F3C" w:rsidP="009C1094">
            <w:pPr>
              <w:pStyle w:val="TableParagraph"/>
              <w:spacing w:after="120"/>
              <w:ind w:left="98" w:right="78"/>
              <w:jc w:val="both"/>
              <w:rPr>
                <w:rFonts w:ascii="Rockwell" w:hAnsi="Rockwell"/>
                <w:sz w:val="24"/>
                <w:szCs w:val="24"/>
                <w:lang w:val="fr-CA"/>
              </w:rPr>
            </w:pPr>
            <w:r w:rsidRPr="0061020E">
              <w:rPr>
                <w:rFonts w:ascii="Rockwell" w:hAnsi="Rockwell"/>
                <w:sz w:val="24"/>
                <w:szCs w:val="24"/>
                <w:lang w:val="fr-CA"/>
              </w:rPr>
              <w:t>Les prescriptions de la norme EN 1729 laisse le fabricant libre de choisir le matériau utilisé pour les chaises et les tables</w:t>
            </w:r>
            <w:r w:rsidR="003A48AC">
              <w:rPr>
                <w:rFonts w:ascii="Rockwell" w:hAnsi="Rockwell"/>
                <w:sz w:val="24"/>
                <w:szCs w:val="24"/>
                <w:lang w:val="fr-CA"/>
              </w:rPr>
              <w:t>,</w:t>
            </w:r>
            <w:r w:rsidRPr="0061020E">
              <w:rPr>
                <w:rFonts w:ascii="Rockwell" w:hAnsi="Rockwell"/>
                <w:sz w:val="24"/>
                <w:szCs w:val="24"/>
                <w:lang w:val="fr-CA"/>
              </w:rPr>
              <w:t xml:space="preserve"> du moment que les objectifs</w:t>
            </w:r>
            <w:r w:rsidR="003A48AC">
              <w:rPr>
                <w:rFonts w:ascii="Rockwell" w:hAnsi="Rockwell"/>
                <w:sz w:val="24"/>
                <w:szCs w:val="24"/>
                <w:lang w:val="fr-CA"/>
              </w:rPr>
              <w:t xml:space="preserve"> de </w:t>
            </w:r>
            <w:r w:rsidRPr="0061020E">
              <w:rPr>
                <w:rFonts w:ascii="Rockwell" w:hAnsi="Rockwell"/>
                <w:sz w:val="24"/>
                <w:szCs w:val="24"/>
                <w:lang w:val="fr-CA"/>
              </w:rPr>
              <w:t>performance sont</w:t>
            </w:r>
            <w:r w:rsidRPr="0061020E">
              <w:rPr>
                <w:rFonts w:ascii="Rockwell" w:hAnsi="Rockwell"/>
                <w:spacing w:val="-21"/>
                <w:sz w:val="24"/>
                <w:szCs w:val="24"/>
                <w:lang w:val="fr-CA"/>
              </w:rPr>
              <w:t xml:space="preserve"> </w:t>
            </w:r>
            <w:r w:rsidRPr="0061020E">
              <w:rPr>
                <w:rFonts w:ascii="Rockwell" w:hAnsi="Rockwell"/>
                <w:sz w:val="24"/>
                <w:szCs w:val="24"/>
                <w:lang w:val="fr-CA"/>
              </w:rPr>
              <w:t>respectés</w:t>
            </w:r>
            <w:r w:rsidR="00727999">
              <w:rPr>
                <w:rFonts w:ascii="Rockwell" w:hAnsi="Rockwell"/>
                <w:sz w:val="24"/>
                <w:szCs w:val="24"/>
                <w:lang w:val="fr-CA"/>
              </w:rPr>
              <w:t>.</w:t>
            </w:r>
          </w:p>
        </w:tc>
      </w:tr>
      <w:tr w:rsidR="008C7F3C" w:rsidRPr="006847BA" w:rsidTr="00727999">
        <w:trPr>
          <w:trHeight w:hRule="exact" w:val="2679"/>
          <w:jc w:val="center"/>
        </w:trPr>
        <w:tc>
          <w:tcPr>
            <w:tcW w:w="0" w:type="auto"/>
            <w:tcBorders>
              <w:top w:val="single" w:sz="8" w:space="0" w:color="000000"/>
              <w:left w:val="single" w:sz="17" w:space="0" w:color="000000"/>
              <w:bottom w:val="single" w:sz="8" w:space="0" w:color="000000"/>
              <w:right w:val="single" w:sz="8" w:space="0" w:color="000000"/>
            </w:tcBorders>
            <w:shd w:val="clear" w:color="auto" w:fill="FBD4B5"/>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20"/>
              <w:jc w:val="both"/>
              <w:rPr>
                <w:rFonts w:ascii="Rockwell" w:eastAsia="Calibri" w:hAnsi="Rockwell" w:cs="Calibri"/>
                <w:sz w:val="24"/>
                <w:szCs w:val="24"/>
                <w:lang w:val="fr-CA"/>
              </w:rPr>
            </w:pPr>
            <w:r w:rsidRPr="0061020E">
              <w:rPr>
                <w:rFonts w:ascii="Rockwell" w:hAnsi="Rockwell"/>
                <w:b/>
                <w:sz w:val="24"/>
                <w:szCs w:val="24"/>
                <w:lang w:val="fr-CA"/>
              </w:rPr>
              <w:t>6. REFERENCE DE LA NORME DANS LES</w:t>
            </w:r>
            <w:r w:rsidRPr="0061020E">
              <w:rPr>
                <w:rFonts w:ascii="Rockwell" w:hAnsi="Rockwell"/>
                <w:b/>
                <w:spacing w:val="-4"/>
                <w:sz w:val="24"/>
                <w:szCs w:val="24"/>
                <w:lang w:val="fr-CA"/>
              </w:rPr>
              <w:t xml:space="preserve"> </w:t>
            </w:r>
            <w:r w:rsidRPr="0061020E">
              <w:rPr>
                <w:rFonts w:ascii="Rockwell" w:hAnsi="Rockwell"/>
                <w:b/>
                <w:sz w:val="24"/>
                <w:szCs w:val="24"/>
                <w:lang w:val="fr-CA"/>
              </w:rPr>
              <w:t>CCTP</w:t>
            </w:r>
          </w:p>
        </w:tc>
        <w:tc>
          <w:tcPr>
            <w:tcW w:w="0" w:type="auto"/>
            <w:tcBorders>
              <w:top w:val="single" w:sz="8" w:space="0" w:color="000000"/>
              <w:left w:val="single" w:sz="8" w:space="0" w:color="000000"/>
              <w:bottom w:val="single" w:sz="8" w:space="0" w:color="000000"/>
              <w:right w:val="single" w:sz="8" w:space="0" w:color="000000"/>
            </w:tcBorders>
          </w:tcPr>
          <w:p w:rsidR="008C7F3C" w:rsidRPr="0061020E" w:rsidRDefault="008C7F3C" w:rsidP="008F6018">
            <w:pPr>
              <w:pStyle w:val="TableParagraph"/>
              <w:spacing w:after="120"/>
              <w:ind w:left="131" w:right="236"/>
              <w:jc w:val="both"/>
              <w:rPr>
                <w:rFonts w:ascii="Rockwell" w:eastAsia="Calibri" w:hAnsi="Rockwell" w:cs="Calibri"/>
                <w:sz w:val="24"/>
                <w:szCs w:val="24"/>
                <w:lang w:val="fr-CA"/>
              </w:rPr>
            </w:pPr>
            <w:r w:rsidRPr="0061020E">
              <w:rPr>
                <w:rFonts w:ascii="Rockwell" w:hAnsi="Rockwell"/>
                <w:sz w:val="24"/>
                <w:szCs w:val="24"/>
                <w:lang w:val="fr-CA"/>
              </w:rPr>
              <w:t>La référence devrait se limiter aux seules normes nécessaires à la réalisation de la performance</w:t>
            </w:r>
          </w:p>
        </w:tc>
        <w:tc>
          <w:tcPr>
            <w:tcW w:w="5381" w:type="dxa"/>
            <w:tcBorders>
              <w:top w:val="single" w:sz="8" w:space="0" w:color="000000"/>
              <w:left w:val="single" w:sz="8" w:space="0" w:color="000000"/>
              <w:bottom w:val="single" w:sz="8" w:space="0" w:color="000000"/>
              <w:right w:val="single" w:sz="17" w:space="0" w:color="000000"/>
            </w:tcBorders>
          </w:tcPr>
          <w:p w:rsidR="008C7F3C" w:rsidRPr="0061020E" w:rsidRDefault="008C7F3C" w:rsidP="008F6018">
            <w:pPr>
              <w:pStyle w:val="TableParagraph"/>
              <w:spacing w:after="120"/>
              <w:ind w:left="98" w:right="87"/>
              <w:jc w:val="both"/>
              <w:rPr>
                <w:rFonts w:ascii="Rockwell" w:eastAsia="Calibri" w:hAnsi="Rockwell" w:cs="Calibri"/>
                <w:sz w:val="24"/>
                <w:szCs w:val="24"/>
                <w:lang w:val="fr-CA"/>
              </w:rPr>
            </w:pPr>
            <w:r w:rsidRPr="0061020E">
              <w:rPr>
                <w:rFonts w:ascii="Rockwell" w:eastAsia="Calibri" w:hAnsi="Rockwell" w:cs="Calibri"/>
                <w:sz w:val="24"/>
                <w:szCs w:val="24"/>
                <w:lang w:val="fr-CA"/>
              </w:rPr>
              <w:t>Au-delà de l’application des critères de la norme EN 1729-1., l’acheteur a la possibilité d’exiger dans le cahier des charges</w:t>
            </w:r>
            <w:r w:rsidR="003A48AC">
              <w:rPr>
                <w:rFonts w:ascii="Rockwell" w:eastAsia="Calibri" w:hAnsi="Rockwell" w:cs="Calibri"/>
                <w:sz w:val="24"/>
                <w:szCs w:val="24"/>
                <w:lang w:val="fr-CA"/>
              </w:rPr>
              <w:t>,</w:t>
            </w:r>
            <w:r w:rsidRPr="0061020E">
              <w:rPr>
                <w:rFonts w:ascii="Rockwell" w:eastAsia="Calibri" w:hAnsi="Rockwell" w:cs="Calibri"/>
                <w:sz w:val="24"/>
                <w:szCs w:val="24"/>
                <w:lang w:val="fr-CA"/>
              </w:rPr>
              <w:t xml:space="preserve"> un matériau particulier</w:t>
            </w:r>
            <w:r w:rsidR="003A48AC">
              <w:rPr>
                <w:rFonts w:ascii="Rockwell" w:eastAsia="Calibri" w:hAnsi="Rockwell" w:cs="Calibri"/>
                <w:sz w:val="24"/>
                <w:szCs w:val="24"/>
                <w:lang w:val="fr-CA"/>
              </w:rPr>
              <w:t>,</w:t>
            </w:r>
            <w:r w:rsidRPr="0061020E">
              <w:rPr>
                <w:rFonts w:ascii="Rockwell" w:eastAsia="Calibri" w:hAnsi="Rockwell" w:cs="Calibri"/>
                <w:sz w:val="24"/>
                <w:szCs w:val="24"/>
                <w:lang w:val="fr-CA"/>
              </w:rPr>
              <w:t xml:space="preserve"> tel que le</w:t>
            </w:r>
            <w:r w:rsidRPr="0061020E">
              <w:rPr>
                <w:rFonts w:ascii="Rockwell" w:eastAsia="Calibri" w:hAnsi="Rockwell" w:cs="Calibri"/>
                <w:spacing w:val="-4"/>
                <w:sz w:val="24"/>
                <w:szCs w:val="24"/>
                <w:lang w:val="fr-CA"/>
              </w:rPr>
              <w:t xml:space="preserve"> </w:t>
            </w:r>
            <w:r w:rsidRPr="0061020E">
              <w:rPr>
                <w:rFonts w:ascii="Rockwell" w:eastAsia="Calibri" w:hAnsi="Rockwell" w:cs="Calibri"/>
                <w:sz w:val="24"/>
                <w:szCs w:val="24"/>
                <w:lang w:val="fr-CA"/>
              </w:rPr>
              <w:t>bois.</w:t>
            </w:r>
          </w:p>
        </w:tc>
      </w:tr>
    </w:tbl>
    <w:p w:rsidR="00AE30D2" w:rsidRPr="00AE30D2" w:rsidRDefault="00AE30D2" w:rsidP="00AE30D2">
      <w:pPr>
        <w:pStyle w:val="Titre2"/>
        <w:spacing w:before="0" w:after="120" w:line="240" w:lineRule="auto"/>
        <w:jc w:val="both"/>
        <w:rPr>
          <w:rFonts w:ascii="Rockwell" w:hAnsi="Rockwell"/>
          <w:b w:val="0"/>
          <w:sz w:val="24"/>
          <w:szCs w:val="24"/>
        </w:rPr>
      </w:pPr>
    </w:p>
    <w:p w:rsidR="008C7F3C" w:rsidRPr="00A6338E" w:rsidRDefault="008C7F3C" w:rsidP="008F6018">
      <w:pPr>
        <w:pStyle w:val="Titre2"/>
        <w:numPr>
          <w:ilvl w:val="0"/>
          <w:numId w:val="95"/>
        </w:numPr>
        <w:spacing w:before="0" w:after="120" w:line="240" w:lineRule="auto"/>
        <w:jc w:val="both"/>
        <w:rPr>
          <w:rFonts w:ascii="Rockwell" w:hAnsi="Rockwell"/>
          <w:color w:val="auto"/>
          <w:sz w:val="24"/>
          <w:szCs w:val="24"/>
        </w:rPr>
      </w:pPr>
      <w:bookmarkStart w:id="144" w:name="_Toc503784932"/>
      <w:bookmarkStart w:id="145" w:name="_Toc505063305"/>
      <w:r w:rsidRPr="00A6338E">
        <w:rPr>
          <w:rFonts w:ascii="Rockwell" w:hAnsi="Rockwell"/>
          <w:color w:val="auto"/>
          <w:sz w:val="24"/>
          <w:szCs w:val="24"/>
        </w:rPr>
        <w:t xml:space="preserve">Pendant l’achat public : </w:t>
      </w:r>
      <w:r w:rsidR="003A48AC">
        <w:rPr>
          <w:rFonts w:ascii="Rockwell" w:hAnsi="Rockwell"/>
          <w:color w:val="auto"/>
          <w:sz w:val="24"/>
          <w:szCs w:val="24"/>
        </w:rPr>
        <w:t>u</w:t>
      </w:r>
      <w:r w:rsidRPr="00A6338E">
        <w:rPr>
          <w:rFonts w:ascii="Rockwell" w:hAnsi="Rockwell"/>
          <w:color w:val="auto"/>
          <w:sz w:val="24"/>
          <w:szCs w:val="24"/>
        </w:rPr>
        <w:t>tiliser les normes pour pouvoir sélectionner le fournisseur</w:t>
      </w:r>
      <w:bookmarkEnd w:id="144"/>
      <w:bookmarkEnd w:id="145"/>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Après réception des plis, la référence à la norme servirait de moyen de distinction entre les offres et une grille de lecture objective permettrait de :</w:t>
      </w:r>
    </w:p>
    <w:p w:rsidR="003E02BC" w:rsidRDefault="00E37C1C" w:rsidP="008F6018">
      <w:pPr>
        <w:pStyle w:val="Paragraphedeliste"/>
        <w:numPr>
          <w:ilvl w:val="0"/>
          <w:numId w:val="109"/>
        </w:numPr>
        <w:spacing w:after="120" w:line="240" w:lineRule="auto"/>
        <w:jc w:val="both"/>
        <w:rPr>
          <w:rFonts w:ascii="Rockwell" w:hAnsi="Rockwell"/>
          <w:sz w:val="24"/>
          <w:szCs w:val="24"/>
          <w:lang w:val="fr-CA"/>
        </w:rPr>
      </w:pPr>
      <w:r w:rsidRPr="003E02BC">
        <w:rPr>
          <w:rFonts w:ascii="Rockwell" w:hAnsi="Rockwell"/>
          <w:sz w:val="24"/>
          <w:szCs w:val="24"/>
          <w:lang w:val="fr-CA"/>
        </w:rPr>
        <w:t>r</w:t>
      </w:r>
      <w:r w:rsidR="008C7F3C" w:rsidRPr="003E02BC">
        <w:rPr>
          <w:rFonts w:ascii="Rockwell" w:hAnsi="Rockwell"/>
          <w:sz w:val="24"/>
          <w:szCs w:val="24"/>
          <w:lang w:val="fr-CA"/>
        </w:rPr>
        <w:t xml:space="preserve">especter le principe d’égalité entre les </w:t>
      </w:r>
      <w:r w:rsidR="00255AD4" w:rsidRPr="003E02BC">
        <w:rPr>
          <w:rFonts w:ascii="Rockwell" w:hAnsi="Rockwell"/>
          <w:sz w:val="24"/>
          <w:szCs w:val="24"/>
          <w:lang w:val="fr-CA"/>
        </w:rPr>
        <w:t>soumissionnaires</w:t>
      </w:r>
      <w:r w:rsidR="003E02BC">
        <w:rPr>
          <w:rFonts w:ascii="Rockwell" w:hAnsi="Rockwell"/>
          <w:sz w:val="24"/>
          <w:szCs w:val="24"/>
          <w:lang w:val="fr-CA"/>
        </w:rPr>
        <w:t xml:space="preserve"> ;</w:t>
      </w:r>
    </w:p>
    <w:p w:rsidR="003E02BC" w:rsidRDefault="00E37C1C" w:rsidP="008F6018">
      <w:pPr>
        <w:pStyle w:val="Paragraphedeliste"/>
        <w:numPr>
          <w:ilvl w:val="0"/>
          <w:numId w:val="109"/>
        </w:numPr>
        <w:spacing w:after="120" w:line="240" w:lineRule="auto"/>
        <w:jc w:val="both"/>
        <w:rPr>
          <w:rFonts w:ascii="Rockwell" w:hAnsi="Rockwell"/>
          <w:sz w:val="24"/>
          <w:szCs w:val="24"/>
          <w:lang w:val="fr-CA"/>
        </w:rPr>
      </w:pPr>
      <w:r w:rsidRPr="003E02BC">
        <w:rPr>
          <w:rFonts w:ascii="Rockwell" w:hAnsi="Rockwell"/>
          <w:sz w:val="24"/>
          <w:szCs w:val="24"/>
          <w:lang w:val="fr-CA"/>
        </w:rPr>
        <w:t>é</w:t>
      </w:r>
      <w:r w:rsidR="008C7F3C" w:rsidRPr="003E02BC">
        <w:rPr>
          <w:rFonts w:ascii="Rockwell" w:hAnsi="Rockwell"/>
          <w:sz w:val="24"/>
          <w:szCs w:val="24"/>
          <w:lang w:val="fr-CA"/>
        </w:rPr>
        <w:t>carter les of</w:t>
      </w:r>
      <w:r w:rsidR="003E02BC">
        <w:rPr>
          <w:rFonts w:ascii="Rockwell" w:hAnsi="Rockwell"/>
          <w:sz w:val="24"/>
          <w:szCs w:val="24"/>
          <w:lang w:val="fr-CA"/>
        </w:rPr>
        <w:t>fres n’intégrant pas les normes ;</w:t>
      </w:r>
    </w:p>
    <w:p w:rsidR="008C7F3C" w:rsidRPr="003E02BC" w:rsidRDefault="00E37C1C" w:rsidP="008F6018">
      <w:pPr>
        <w:pStyle w:val="Paragraphedeliste"/>
        <w:numPr>
          <w:ilvl w:val="0"/>
          <w:numId w:val="109"/>
        </w:numPr>
        <w:spacing w:after="120" w:line="240" w:lineRule="auto"/>
        <w:jc w:val="both"/>
        <w:rPr>
          <w:rFonts w:ascii="Rockwell" w:hAnsi="Rockwell"/>
          <w:sz w:val="24"/>
          <w:szCs w:val="24"/>
          <w:lang w:val="fr-CA"/>
        </w:rPr>
      </w:pPr>
      <w:r w:rsidRPr="003E02BC">
        <w:rPr>
          <w:rFonts w:ascii="Rockwell" w:hAnsi="Rockwell"/>
          <w:sz w:val="24"/>
          <w:szCs w:val="24"/>
          <w:lang w:val="fr-CA"/>
        </w:rPr>
        <w:t>m</w:t>
      </w:r>
      <w:r w:rsidR="008C7F3C" w:rsidRPr="003E02BC">
        <w:rPr>
          <w:rFonts w:ascii="Rockwell" w:hAnsi="Rockwell"/>
          <w:sz w:val="24"/>
          <w:szCs w:val="24"/>
          <w:lang w:val="fr-CA"/>
        </w:rPr>
        <w:t>esurer efficacement</w:t>
      </w:r>
      <w:r w:rsidR="003A48AC">
        <w:rPr>
          <w:rFonts w:ascii="Rockwell" w:hAnsi="Rockwell"/>
          <w:sz w:val="24"/>
          <w:szCs w:val="24"/>
          <w:lang w:val="fr-CA"/>
        </w:rPr>
        <w:t>,</w:t>
      </w:r>
      <w:r w:rsidR="008C7F3C" w:rsidRPr="003E02BC">
        <w:rPr>
          <w:rFonts w:ascii="Rockwell" w:hAnsi="Rockwell"/>
          <w:sz w:val="24"/>
          <w:szCs w:val="24"/>
          <w:lang w:val="fr-CA"/>
        </w:rPr>
        <w:t xml:space="preserve"> la qualité des offres</w:t>
      </w:r>
      <w:r w:rsidR="003A48AC">
        <w:rPr>
          <w:rFonts w:ascii="Rockwell" w:hAnsi="Rockwell"/>
          <w:sz w:val="24"/>
          <w:szCs w:val="24"/>
          <w:lang w:val="fr-CA"/>
        </w:rPr>
        <w:t>,</w:t>
      </w:r>
      <w:r w:rsidR="008C7F3C" w:rsidRPr="003E02BC">
        <w:rPr>
          <w:rFonts w:ascii="Rockwell" w:hAnsi="Rockwell"/>
          <w:sz w:val="24"/>
          <w:szCs w:val="24"/>
          <w:lang w:val="fr-CA"/>
        </w:rPr>
        <w:t xml:space="preserve"> au vu des exigences imposées par le cahier des charges.</w:t>
      </w:r>
    </w:p>
    <w:p w:rsidR="008C7F3C" w:rsidRPr="0061020E" w:rsidRDefault="008C7F3C" w:rsidP="008F6018">
      <w:pPr>
        <w:spacing w:after="120" w:line="240" w:lineRule="auto"/>
        <w:jc w:val="both"/>
        <w:rPr>
          <w:rFonts w:ascii="Rockwell" w:hAnsi="Rockwell"/>
          <w:sz w:val="24"/>
          <w:szCs w:val="24"/>
          <w:lang w:val="fr-CA"/>
        </w:rPr>
      </w:pPr>
      <w:r w:rsidRPr="00E37C1C">
        <w:rPr>
          <w:rFonts w:ascii="Rockwell" w:hAnsi="Rockwell"/>
          <w:sz w:val="24"/>
          <w:szCs w:val="24"/>
          <w:highlight w:val="magenta"/>
          <w:lang w:val="fr-CA"/>
        </w:rPr>
        <w:t>Par ai</w:t>
      </w:r>
      <w:r w:rsidR="00E37C1C" w:rsidRPr="00E37C1C">
        <w:rPr>
          <w:rFonts w:ascii="Rockwell" w:hAnsi="Rockwell"/>
          <w:sz w:val="24"/>
          <w:szCs w:val="24"/>
          <w:highlight w:val="magenta"/>
          <w:lang w:val="fr-CA"/>
        </w:rPr>
        <w:t>lleurs, l’</w:t>
      </w:r>
      <w:r w:rsidR="003A48AC">
        <w:rPr>
          <w:rFonts w:ascii="Rockwell" w:hAnsi="Rockwell"/>
          <w:sz w:val="24"/>
          <w:szCs w:val="24"/>
          <w:highlight w:val="magenta"/>
          <w:lang w:val="fr-CA"/>
        </w:rPr>
        <w:t>a</w:t>
      </w:r>
      <w:r w:rsidR="00E37C1C" w:rsidRPr="00E37C1C">
        <w:rPr>
          <w:rFonts w:ascii="Rockwell" w:hAnsi="Rockwell"/>
          <w:sz w:val="24"/>
          <w:szCs w:val="24"/>
          <w:highlight w:val="magenta"/>
          <w:lang w:val="fr-CA"/>
        </w:rPr>
        <w:t>dministration</w:t>
      </w:r>
      <w:r w:rsidRPr="00E37C1C">
        <w:rPr>
          <w:rFonts w:ascii="Rockwell" w:hAnsi="Rockwell"/>
          <w:sz w:val="24"/>
          <w:szCs w:val="24"/>
          <w:highlight w:val="magenta"/>
          <w:lang w:val="fr-CA"/>
        </w:rPr>
        <w:t>, peut demander aux candidats des preuves de conformité de leurs produits ou services. Dans ce cas, la certification serait la meilleure voie de l’exprimer.</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Ce guide propose la liste des produits </w:t>
      </w:r>
      <w:r w:rsidR="00136958" w:rsidRPr="0061020E">
        <w:rPr>
          <w:rFonts w:ascii="Rockwell" w:hAnsi="Rockwell"/>
          <w:sz w:val="24"/>
          <w:szCs w:val="24"/>
          <w:lang w:val="fr-CA"/>
        </w:rPr>
        <w:t xml:space="preserve">figurant dans le programme de certification de </w:t>
      </w:r>
      <w:r w:rsidRPr="0061020E">
        <w:rPr>
          <w:rFonts w:ascii="Rockwell" w:hAnsi="Rockwell"/>
          <w:sz w:val="24"/>
          <w:szCs w:val="24"/>
          <w:lang w:val="fr-CA"/>
        </w:rPr>
        <w:t>l’</w:t>
      </w:r>
      <w:r w:rsidR="00136958" w:rsidRPr="0061020E">
        <w:rPr>
          <w:rFonts w:ascii="Rockwell" w:hAnsi="Rockwell"/>
          <w:sz w:val="24"/>
          <w:szCs w:val="24"/>
          <w:lang w:val="fr-CA"/>
        </w:rPr>
        <w:t>ABNORM</w:t>
      </w:r>
      <w:r w:rsidR="00EF467D">
        <w:rPr>
          <w:rFonts w:ascii="Rockwell" w:hAnsi="Rockwell"/>
          <w:sz w:val="24"/>
          <w:szCs w:val="24"/>
          <w:lang w:val="fr-CA"/>
        </w:rPr>
        <w:t>,</w:t>
      </w:r>
      <w:r w:rsidRPr="0061020E">
        <w:rPr>
          <w:rFonts w:ascii="Rockwell" w:hAnsi="Rockwell"/>
          <w:sz w:val="24"/>
          <w:szCs w:val="24"/>
          <w:lang w:val="fr-CA"/>
        </w:rPr>
        <w:t xml:space="preserve"> dans </w:t>
      </w:r>
      <w:r w:rsidR="00136958" w:rsidRPr="0061020E">
        <w:rPr>
          <w:rFonts w:ascii="Rockwell" w:hAnsi="Rockwell"/>
          <w:sz w:val="24"/>
          <w:szCs w:val="24"/>
          <w:lang w:val="fr-CA"/>
        </w:rPr>
        <w:t>plusieurs secteurs.</w:t>
      </w:r>
    </w:p>
    <w:p w:rsidR="00D47998" w:rsidRPr="0061020E" w:rsidRDefault="00D47998" w:rsidP="008F6018">
      <w:pPr>
        <w:spacing w:after="120" w:line="240" w:lineRule="auto"/>
        <w:jc w:val="both"/>
        <w:rPr>
          <w:rFonts w:ascii="Rockwell" w:hAnsi="Rockwell"/>
          <w:sz w:val="24"/>
          <w:szCs w:val="24"/>
          <w:lang w:val="fr-CA"/>
        </w:rPr>
      </w:pPr>
    </w:p>
    <w:p w:rsidR="008C7F3C" w:rsidRPr="002A2EB4" w:rsidRDefault="008C7F3C" w:rsidP="008F6018">
      <w:pPr>
        <w:pStyle w:val="Titre2"/>
        <w:numPr>
          <w:ilvl w:val="0"/>
          <w:numId w:val="95"/>
        </w:numPr>
        <w:spacing w:before="0" w:after="120" w:line="240" w:lineRule="auto"/>
        <w:jc w:val="both"/>
        <w:rPr>
          <w:rFonts w:ascii="Rockwell" w:hAnsi="Rockwell"/>
          <w:color w:val="auto"/>
          <w:sz w:val="24"/>
          <w:szCs w:val="24"/>
        </w:rPr>
      </w:pPr>
      <w:bookmarkStart w:id="146" w:name="_Toc503784933"/>
      <w:bookmarkStart w:id="147" w:name="_Toc505063306"/>
      <w:r w:rsidRPr="002A2EB4">
        <w:rPr>
          <w:rFonts w:ascii="Rockwell" w:hAnsi="Rockwell"/>
          <w:color w:val="auto"/>
          <w:sz w:val="24"/>
          <w:szCs w:val="24"/>
        </w:rPr>
        <w:t>Après l’achat</w:t>
      </w:r>
      <w:r w:rsidR="00EF467D">
        <w:rPr>
          <w:rFonts w:ascii="Rockwell" w:hAnsi="Rockwell"/>
          <w:color w:val="auto"/>
          <w:sz w:val="24"/>
          <w:szCs w:val="24"/>
        </w:rPr>
        <w:t>, s</w:t>
      </w:r>
      <w:r w:rsidRPr="002A2EB4">
        <w:rPr>
          <w:rFonts w:ascii="Rockwell" w:hAnsi="Rockwell"/>
          <w:color w:val="auto"/>
          <w:sz w:val="24"/>
          <w:szCs w:val="24"/>
        </w:rPr>
        <w:t>uivre l’exécution du marché public</w:t>
      </w:r>
      <w:bookmarkEnd w:id="146"/>
      <w:bookmarkEnd w:id="147"/>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Résoudre certains problèmes pouvant apparaître</w:t>
      </w:r>
      <w:r w:rsidR="00EF467D">
        <w:rPr>
          <w:rFonts w:ascii="Rockwell" w:hAnsi="Rockwell"/>
          <w:sz w:val="24"/>
          <w:szCs w:val="24"/>
          <w:lang w:val="fr-CA"/>
        </w:rPr>
        <w:t>,</w:t>
      </w:r>
      <w:r w:rsidRPr="0061020E">
        <w:rPr>
          <w:rFonts w:ascii="Rockwell" w:hAnsi="Rockwell"/>
          <w:sz w:val="24"/>
          <w:szCs w:val="24"/>
          <w:lang w:val="fr-CA"/>
        </w:rPr>
        <w:t xml:space="preserve"> durant l’exécution du contrat.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arrive que, durant l’exécution du contrat, une panne de système sur</w:t>
      </w:r>
      <w:r w:rsidR="00EF467D">
        <w:rPr>
          <w:rFonts w:ascii="Rockwell" w:hAnsi="Rockwell"/>
          <w:sz w:val="24"/>
          <w:szCs w:val="24"/>
          <w:lang w:val="fr-CA"/>
        </w:rPr>
        <w:t xml:space="preserve">vient ou un produit </w:t>
      </w:r>
      <w:r w:rsidR="009C1094">
        <w:rPr>
          <w:rFonts w:ascii="Rockwell" w:hAnsi="Rockwell"/>
          <w:sz w:val="24"/>
          <w:szCs w:val="24"/>
          <w:lang w:val="fr-CA"/>
        </w:rPr>
        <w:t xml:space="preserve">est </w:t>
      </w:r>
      <w:r w:rsidR="00EF467D">
        <w:rPr>
          <w:rFonts w:ascii="Rockwell" w:hAnsi="Rockwell"/>
          <w:sz w:val="24"/>
          <w:szCs w:val="24"/>
          <w:lang w:val="fr-CA"/>
        </w:rPr>
        <w:t xml:space="preserve">défectueux </w:t>
      </w:r>
      <w:r w:rsidRPr="0061020E">
        <w:rPr>
          <w:rFonts w:ascii="Rockwell" w:hAnsi="Rockwell"/>
          <w:sz w:val="24"/>
          <w:szCs w:val="24"/>
          <w:lang w:val="fr-CA"/>
        </w:rPr>
        <w:t>réceptionné. Le problème serait plus facile à résoudre</w:t>
      </w:r>
      <w:r w:rsidR="00EF467D">
        <w:rPr>
          <w:rFonts w:ascii="Rockwell" w:hAnsi="Rockwell"/>
          <w:sz w:val="24"/>
          <w:szCs w:val="24"/>
          <w:lang w:val="fr-CA"/>
        </w:rPr>
        <w:t>,</w:t>
      </w:r>
      <w:r w:rsidRPr="0061020E">
        <w:rPr>
          <w:rFonts w:ascii="Rockwell" w:hAnsi="Rockwell"/>
          <w:sz w:val="24"/>
          <w:szCs w:val="24"/>
          <w:lang w:val="fr-CA"/>
        </w:rPr>
        <w:t xml:space="preserve"> lorsque la référence aux normes spécifiques au marché enclenché est clairement mentionnée. Il suffirait d’explorer, dans ce cas, les exigences des normes contractées.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L’utilisation de ces normes par le fournisseur lui octroie une présomption de conformité et lui fait bénéfice d’indices en sa faveur</w:t>
      </w:r>
      <w:r w:rsidR="00EF467D">
        <w:rPr>
          <w:rFonts w:ascii="Rockwell" w:hAnsi="Rockwell"/>
          <w:sz w:val="24"/>
          <w:szCs w:val="24"/>
          <w:lang w:val="fr-CA"/>
        </w:rPr>
        <w:t>,</w:t>
      </w:r>
      <w:r w:rsidRPr="0061020E">
        <w:rPr>
          <w:rFonts w:ascii="Rockwell" w:hAnsi="Rockwell"/>
          <w:sz w:val="24"/>
          <w:szCs w:val="24"/>
          <w:lang w:val="fr-CA"/>
        </w:rPr>
        <w:t xml:space="preserve"> en cas de litige.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 recours aux normes permet de réaliser des économies d’échelle et </w:t>
      </w:r>
      <w:r w:rsidR="00EF467D">
        <w:rPr>
          <w:rFonts w:ascii="Rockwell" w:hAnsi="Rockwell"/>
          <w:sz w:val="24"/>
          <w:szCs w:val="24"/>
          <w:lang w:val="fr-CA"/>
        </w:rPr>
        <w:t xml:space="preserve">de </w:t>
      </w:r>
      <w:r w:rsidRPr="0061020E">
        <w:rPr>
          <w:rFonts w:ascii="Rockwell" w:hAnsi="Rockwell"/>
          <w:sz w:val="24"/>
          <w:szCs w:val="24"/>
          <w:lang w:val="fr-CA"/>
        </w:rPr>
        <w:t>diminuer les coûts d’entretien ou de dépannage.</w:t>
      </w:r>
    </w:p>
    <w:p w:rsidR="00E11E9E" w:rsidRPr="0061020E" w:rsidRDefault="00E11E9E" w:rsidP="008F6018">
      <w:pPr>
        <w:spacing w:after="120" w:line="240" w:lineRule="auto"/>
        <w:jc w:val="both"/>
        <w:rPr>
          <w:rFonts w:ascii="Rockwell" w:hAnsi="Rockwell"/>
          <w:sz w:val="24"/>
          <w:szCs w:val="24"/>
          <w:lang w:val="fr-CA"/>
        </w:rPr>
      </w:pPr>
    </w:p>
    <w:p w:rsidR="008C7F3C" w:rsidRPr="002A2EB4" w:rsidRDefault="00E06904" w:rsidP="008F6018">
      <w:pPr>
        <w:pStyle w:val="Titre2"/>
        <w:numPr>
          <w:ilvl w:val="0"/>
          <w:numId w:val="95"/>
        </w:numPr>
        <w:spacing w:before="0" w:after="120" w:line="240" w:lineRule="auto"/>
        <w:jc w:val="both"/>
        <w:rPr>
          <w:rFonts w:ascii="Rockwell" w:hAnsi="Rockwell"/>
          <w:color w:val="auto"/>
          <w:sz w:val="24"/>
          <w:szCs w:val="24"/>
        </w:rPr>
      </w:pPr>
      <w:bookmarkStart w:id="148" w:name="_Toc503784934"/>
      <w:bookmarkStart w:id="149" w:name="_Toc505063307"/>
      <w:r w:rsidRPr="002A2EB4">
        <w:rPr>
          <w:rFonts w:ascii="Rockwell" w:hAnsi="Rockwell"/>
          <w:color w:val="auto"/>
          <w:sz w:val="24"/>
          <w:szCs w:val="24"/>
        </w:rPr>
        <w:lastRenderedPageBreak/>
        <w:t>Exigences normatives par domaine</w:t>
      </w:r>
      <w:bookmarkEnd w:id="148"/>
      <w:bookmarkEnd w:id="149"/>
    </w:p>
    <w:p w:rsidR="00C02D57" w:rsidRPr="0061020E" w:rsidRDefault="006C5BC6" w:rsidP="008F6018">
      <w:pPr>
        <w:widowControl w:val="0"/>
        <w:spacing w:after="120" w:line="240" w:lineRule="auto"/>
        <w:jc w:val="both"/>
        <w:rPr>
          <w:rFonts w:ascii="Rockwell" w:hAnsi="Rockwell"/>
          <w:sz w:val="24"/>
          <w:szCs w:val="24"/>
          <w:lang w:val="fr-CA"/>
        </w:rPr>
      </w:pPr>
      <w:r w:rsidRPr="0061020E">
        <w:rPr>
          <w:rFonts w:ascii="Rockwell" w:hAnsi="Rockwell"/>
          <w:sz w:val="24"/>
          <w:szCs w:val="24"/>
          <w:lang w:val="fr-CA"/>
        </w:rPr>
        <w:t>Au Burkina Faso, le</w:t>
      </w:r>
      <w:r w:rsidR="00136958" w:rsidRPr="0061020E">
        <w:rPr>
          <w:rFonts w:ascii="Rockwell" w:hAnsi="Rockwell"/>
          <w:sz w:val="24"/>
          <w:szCs w:val="24"/>
          <w:lang w:val="fr-CA"/>
        </w:rPr>
        <w:t xml:space="preserve">s normes applicables dans </w:t>
      </w:r>
      <w:r w:rsidRPr="0061020E">
        <w:rPr>
          <w:rFonts w:ascii="Rockwell" w:hAnsi="Rockwell"/>
          <w:sz w:val="24"/>
          <w:szCs w:val="24"/>
          <w:lang w:val="fr-CA"/>
        </w:rPr>
        <w:t xml:space="preserve">le cadre des achats publics sont les normes nationales. </w:t>
      </w:r>
      <w:r w:rsidR="00C02D57" w:rsidRPr="0061020E">
        <w:rPr>
          <w:rFonts w:ascii="Rockwell" w:hAnsi="Rockwell"/>
          <w:sz w:val="24"/>
          <w:szCs w:val="24"/>
          <w:lang w:val="fr-CA"/>
        </w:rPr>
        <w:t>Nous proposons en Annexe1</w:t>
      </w:r>
      <w:r w:rsidR="00EF467D">
        <w:rPr>
          <w:rFonts w:ascii="Rockwell" w:hAnsi="Rockwell"/>
          <w:sz w:val="24"/>
          <w:szCs w:val="24"/>
          <w:lang w:val="fr-CA"/>
        </w:rPr>
        <w:t>,</w:t>
      </w:r>
      <w:r w:rsidR="00C02D57" w:rsidRPr="0061020E">
        <w:rPr>
          <w:rFonts w:ascii="Rockwell" w:hAnsi="Rockwell"/>
          <w:sz w:val="24"/>
          <w:szCs w:val="24"/>
          <w:lang w:val="fr-CA"/>
        </w:rPr>
        <w:t xml:space="preserve"> le répertoire des normes applicables dans les domaines agricole, agro-alimentaire, de la chimie, du bâtiment et génie-civil et du textile.</w:t>
      </w:r>
    </w:p>
    <w:p w:rsidR="00136958" w:rsidRPr="0061020E" w:rsidRDefault="006C5BC6" w:rsidP="008F6018">
      <w:pPr>
        <w:widowControl w:val="0"/>
        <w:spacing w:after="120" w:line="240" w:lineRule="auto"/>
        <w:jc w:val="both"/>
        <w:rPr>
          <w:rFonts w:ascii="Rockwell" w:hAnsi="Rockwell"/>
          <w:sz w:val="24"/>
          <w:szCs w:val="24"/>
          <w:lang w:val="fr-CA"/>
        </w:rPr>
      </w:pPr>
      <w:r w:rsidRPr="0061020E">
        <w:rPr>
          <w:rFonts w:ascii="Rockwell" w:hAnsi="Rockwell"/>
          <w:sz w:val="24"/>
          <w:szCs w:val="24"/>
          <w:lang w:val="fr-CA"/>
        </w:rPr>
        <w:t>En cas d’absence de normes nationales, les normes internationales</w:t>
      </w:r>
      <w:r w:rsidR="00BA2E71" w:rsidRPr="0061020E">
        <w:rPr>
          <w:rFonts w:ascii="Rockwell" w:hAnsi="Rockwell"/>
          <w:sz w:val="24"/>
          <w:szCs w:val="24"/>
          <w:lang w:val="fr-CA"/>
        </w:rPr>
        <w:t xml:space="preserve"> ou </w:t>
      </w:r>
      <w:r w:rsidRPr="0061020E">
        <w:rPr>
          <w:rFonts w:ascii="Rockwell" w:hAnsi="Rockwell"/>
          <w:sz w:val="24"/>
          <w:szCs w:val="24"/>
          <w:lang w:val="fr-CA"/>
        </w:rPr>
        <w:t>régionales s’appliquent.</w:t>
      </w:r>
    </w:p>
    <w:p w:rsidR="006C5BC6" w:rsidRPr="0061020E" w:rsidRDefault="006C5BC6" w:rsidP="008F6018">
      <w:pPr>
        <w:widowControl w:val="0"/>
        <w:spacing w:after="120" w:line="240" w:lineRule="auto"/>
        <w:jc w:val="both"/>
        <w:rPr>
          <w:rFonts w:ascii="Rockwell" w:hAnsi="Rockwell"/>
          <w:sz w:val="24"/>
          <w:szCs w:val="24"/>
          <w:lang w:val="fr-CA"/>
        </w:rPr>
      </w:pPr>
      <w:r w:rsidRPr="0061020E">
        <w:rPr>
          <w:rFonts w:ascii="Rockwell" w:hAnsi="Rockwell"/>
          <w:sz w:val="24"/>
          <w:szCs w:val="24"/>
          <w:lang w:val="fr-CA"/>
        </w:rPr>
        <w:t>Quelques exemples d’exigences normatives sont également donnés par domaine.</w:t>
      </w:r>
    </w:p>
    <w:p w:rsidR="00255AD4" w:rsidRPr="0061020E" w:rsidRDefault="00255AD4" w:rsidP="008F6018">
      <w:pPr>
        <w:spacing w:after="120" w:line="240" w:lineRule="auto"/>
        <w:jc w:val="both"/>
        <w:rPr>
          <w:rFonts w:ascii="Rockwell" w:hAnsi="Rockwell"/>
          <w:b/>
          <w:sz w:val="24"/>
          <w:szCs w:val="24"/>
          <w:lang w:val="fr-CA"/>
        </w:rPr>
      </w:pPr>
    </w:p>
    <w:p w:rsidR="00A2489C" w:rsidRPr="0061020E" w:rsidRDefault="00A2489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Cas des produits alimentaires</w:t>
      </w:r>
    </w:p>
    <w:p w:rsidR="008C7F3C" w:rsidRPr="00AC2B6D" w:rsidRDefault="008C7F3C" w:rsidP="008F6018">
      <w:pPr>
        <w:pStyle w:val="Titre3"/>
        <w:numPr>
          <w:ilvl w:val="0"/>
          <w:numId w:val="98"/>
        </w:numPr>
        <w:spacing w:before="0" w:after="120" w:line="240" w:lineRule="auto"/>
        <w:jc w:val="both"/>
        <w:rPr>
          <w:rFonts w:ascii="Rockwell" w:hAnsi="Rockwell"/>
          <w:color w:val="auto"/>
          <w:sz w:val="24"/>
          <w:szCs w:val="24"/>
        </w:rPr>
      </w:pPr>
      <w:bookmarkStart w:id="150" w:name="_Toc505063308"/>
      <w:r w:rsidRPr="00AC2B6D">
        <w:rPr>
          <w:rFonts w:ascii="Rockwell" w:hAnsi="Rockwell"/>
          <w:color w:val="auto"/>
          <w:sz w:val="24"/>
          <w:szCs w:val="24"/>
        </w:rPr>
        <w:t>Les huiles alimentaires</w:t>
      </w:r>
      <w:bookmarkEnd w:id="150"/>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le cadre des achats publics des huiles alimentaires, il est fait recours aux exigences normatives suivantes</w:t>
      </w:r>
      <w:r w:rsidR="00EF467D">
        <w:rPr>
          <w:rFonts w:ascii="Rockwell" w:hAnsi="Rockwell"/>
          <w:sz w:val="24"/>
          <w:szCs w:val="24"/>
          <w:lang w:val="fr-CA"/>
        </w:rPr>
        <w:t>,</w:t>
      </w:r>
      <w:r w:rsidRPr="0061020E">
        <w:rPr>
          <w:rFonts w:ascii="Rockwell" w:hAnsi="Rockwell"/>
          <w:sz w:val="24"/>
          <w:szCs w:val="24"/>
          <w:lang w:val="fr-CA"/>
        </w:rPr>
        <w:t xml:space="preserve"> conformément aux normes </w:t>
      </w:r>
      <w:r w:rsidR="00EF467D">
        <w:rPr>
          <w:rFonts w:ascii="Rockwell" w:hAnsi="Rockwell"/>
          <w:sz w:val="24"/>
          <w:szCs w:val="24"/>
          <w:lang w:val="fr-CA"/>
        </w:rPr>
        <w:t>b</w:t>
      </w:r>
      <w:r w:rsidRPr="0061020E">
        <w:rPr>
          <w:rFonts w:ascii="Rockwell" w:hAnsi="Rockwell"/>
          <w:sz w:val="24"/>
          <w:szCs w:val="24"/>
          <w:lang w:val="fr-CA"/>
        </w:rPr>
        <w:t>urkinab</w:t>
      </w:r>
      <w:r w:rsidR="00EF467D">
        <w:rPr>
          <w:rFonts w:ascii="Rockwell" w:hAnsi="Rockwell"/>
          <w:sz w:val="24"/>
          <w:szCs w:val="24"/>
          <w:lang w:val="fr-CA"/>
        </w:rPr>
        <w:t>è</w:t>
      </w:r>
      <w:r w:rsidRPr="0061020E">
        <w:rPr>
          <w:rFonts w:ascii="Rockwell" w:hAnsi="Rockwell"/>
          <w:sz w:val="24"/>
          <w:szCs w:val="24"/>
          <w:lang w:val="fr-CA"/>
        </w:rPr>
        <w:t xml:space="preserve"> sur les huiles :</w:t>
      </w:r>
    </w:p>
    <w:p w:rsidR="00E11E9E" w:rsidRPr="0061020E" w:rsidRDefault="00E11E9E" w:rsidP="008F6018">
      <w:pPr>
        <w:spacing w:after="120" w:line="240" w:lineRule="auto"/>
        <w:jc w:val="both"/>
        <w:rPr>
          <w:rFonts w:ascii="Rockwell" w:hAnsi="Rockwell"/>
          <w:sz w:val="24"/>
          <w:szCs w:val="24"/>
        </w:rPr>
      </w:pPr>
      <w:r w:rsidRPr="0061020E">
        <w:rPr>
          <w:rFonts w:ascii="Rockwell" w:hAnsi="Rockwell"/>
          <w:sz w:val="24"/>
          <w:szCs w:val="24"/>
        </w:rPr>
        <w:t>Généralités</w:t>
      </w:r>
    </w:p>
    <w:tbl>
      <w:tblPr>
        <w:tblStyle w:val="Grilledutableau"/>
        <w:tblW w:w="9039" w:type="dxa"/>
        <w:tblLook w:val="04A0" w:firstRow="1" w:lastRow="0" w:firstColumn="1" w:lastColumn="0" w:noHBand="0" w:noVBand="1"/>
      </w:tblPr>
      <w:tblGrid>
        <w:gridCol w:w="1244"/>
        <w:gridCol w:w="7795"/>
      </w:tblGrid>
      <w:tr w:rsidR="008C7F3C" w:rsidRPr="006847BA" w:rsidTr="00CF55C0">
        <w:tc>
          <w:tcPr>
            <w:tcW w:w="1244" w:type="dxa"/>
          </w:tcPr>
          <w:p w:rsidR="008C7F3C" w:rsidRPr="0061020E" w:rsidRDefault="006A3995" w:rsidP="008F6018">
            <w:pPr>
              <w:spacing w:after="120"/>
              <w:jc w:val="both"/>
              <w:rPr>
                <w:rFonts w:ascii="Rockwell" w:hAnsi="Rockwell"/>
                <w:sz w:val="24"/>
                <w:szCs w:val="24"/>
              </w:rPr>
            </w:pPr>
            <w:r>
              <w:rPr>
                <w:rFonts w:ascii="Rockwell" w:hAnsi="Rockwell"/>
                <w:sz w:val="24"/>
                <w:szCs w:val="24"/>
              </w:rPr>
              <w:t>1</w:t>
            </w:r>
          </w:p>
        </w:tc>
        <w:tc>
          <w:tcPr>
            <w:tcW w:w="779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L’huile comestible doit être saine, propre, en particulier exempte de matières  étrangères. </w:t>
            </w:r>
          </w:p>
        </w:tc>
      </w:tr>
      <w:tr w:rsidR="008C7F3C" w:rsidRPr="006847BA" w:rsidTr="00CF55C0">
        <w:tc>
          <w:tcPr>
            <w:tcW w:w="1244" w:type="dxa"/>
          </w:tcPr>
          <w:p w:rsidR="008C7F3C" w:rsidRPr="0061020E" w:rsidRDefault="006A3995" w:rsidP="008F6018">
            <w:pPr>
              <w:spacing w:after="120"/>
              <w:jc w:val="both"/>
              <w:rPr>
                <w:rFonts w:ascii="Rockwell" w:hAnsi="Rockwell"/>
                <w:sz w:val="24"/>
                <w:szCs w:val="24"/>
              </w:rPr>
            </w:pPr>
            <w:r>
              <w:rPr>
                <w:rFonts w:ascii="Rockwell" w:hAnsi="Rockwell"/>
                <w:sz w:val="24"/>
                <w:szCs w:val="24"/>
              </w:rPr>
              <w:t>2</w:t>
            </w:r>
          </w:p>
        </w:tc>
        <w:tc>
          <w:tcPr>
            <w:tcW w:w="779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L’huile comestible doit être exempte de métaux lourds susceptibles de présenter un risque pour la santé du consommateur. </w:t>
            </w:r>
          </w:p>
        </w:tc>
      </w:tr>
      <w:tr w:rsidR="008C7F3C" w:rsidRPr="006847BA" w:rsidTr="00CF55C0">
        <w:tc>
          <w:tcPr>
            <w:tcW w:w="1244" w:type="dxa"/>
          </w:tcPr>
          <w:p w:rsidR="008C7F3C" w:rsidRPr="0061020E" w:rsidRDefault="006A3995" w:rsidP="008F6018">
            <w:pPr>
              <w:spacing w:after="120"/>
              <w:jc w:val="both"/>
              <w:rPr>
                <w:rFonts w:ascii="Rockwell" w:hAnsi="Rockwell"/>
                <w:sz w:val="24"/>
                <w:szCs w:val="24"/>
              </w:rPr>
            </w:pPr>
            <w:r>
              <w:rPr>
                <w:rFonts w:ascii="Rockwell" w:hAnsi="Rockwell"/>
                <w:sz w:val="24"/>
                <w:szCs w:val="24"/>
              </w:rPr>
              <w:t>3</w:t>
            </w:r>
          </w:p>
        </w:tc>
        <w:tc>
          <w:tcPr>
            <w:tcW w:w="779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Les résidus de pesticides et autres contaminants ne doivent pas excéder les limites nominales admises par la commission mixte FAO/OMS du Codex Alimentarius. </w:t>
            </w:r>
          </w:p>
        </w:tc>
      </w:tr>
      <w:tr w:rsidR="008C7F3C" w:rsidRPr="006847BA" w:rsidTr="00CF55C0">
        <w:tc>
          <w:tcPr>
            <w:tcW w:w="1244" w:type="dxa"/>
          </w:tcPr>
          <w:p w:rsidR="008C7F3C" w:rsidRPr="0061020E" w:rsidRDefault="006A3995" w:rsidP="008F6018">
            <w:pPr>
              <w:spacing w:after="120"/>
              <w:jc w:val="both"/>
              <w:rPr>
                <w:rFonts w:ascii="Rockwell" w:hAnsi="Rockwell"/>
                <w:sz w:val="24"/>
                <w:szCs w:val="24"/>
              </w:rPr>
            </w:pPr>
            <w:r>
              <w:rPr>
                <w:rFonts w:ascii="Rockwell" w:hAnsi="Rockwell"/>
                <w:sz w:val="24"/>
                <w:szCs w:val="24"/>
              </w:rPr>
              <w:t>4</w:t>
            </w:r>
          </w:p>
        </w:tc>
        <w:tc>
          <w:tcPr>
            <w:tcW w:w="779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La couleur doit être caractéristique de l’huile faisant l’objet de la commande publique. </w:t>
            </w:r>
          </w:p>
        </w:tc>
      </w:tr>
    </w:tbl>
    <w:p w:rsidR="00AE30D2" w:rsidRDefault="00AE30D2"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Facteurs de qualité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La couleur, l’odeur et la saveur doivent être caractéristiques de l'huile faisant </w:t>
      </w:r>
      <w:r w:rsidR="009D4F23" w:rsidRPr="0061020E">
        <w:rPr>
          <w:rFonts w:ascii="Rockwell" w:hAnsi="Rockwell"/>
          <w:sz w:val="24"/>
          <w:szCs w:val="24"/>
        </w:rPr>
        <w:t>l’objet</w:t>
      </w:r>
      <w:r w:rsidRPr="0061020E">
        <w:rPr>
          <w:rFonts w:ascii="Rockwell" w:hAnsi="Rockwell"/>
          <w:sz w:val="24"/>
          <w:szCs w:val="24"/>
        </w:rPr>
        <w:t xml:space="preserve"> de la commande. L’huile doit être </w:t>
      </w:r>
      <w:r w:rsidR="00A2489C" w:rsidRPr="0061020E">
        <w:rPr>
          <w:rFonts w:ascii="Rockwell" w:hAnsi="Rockwell"/>
          <w:sz w:val="24"/>
          <w:szCs w:val="24"/>
        </w:rPr>
        <w:t>exempte</w:t>
      </w:r>
      <w:r w:rsidRPr="0061020E">
        <w:rPr>
          <w:rFonts w:ascii="Rockwell" w:hAnsi="Rockwell"/>
          <w:sz w:val="24"/>
          <w:szCs w:val="24"/>
        </w:rPr>
        <w:t xml:space="preserve"> de saveur et </w:t>
      </w:r>
      <w:r w:rsidR="00A2489C" w:rsidRPr="0061020E">
        <w:rPr>
          <w:rFonts w:ascii="Rockwell" w:hAnsi="Rockwell"/>
          <w:sz w:val="24"/>
          <w:szCs w:val="24"/>
        </w:rPr>
        <w:t>d’odeurs étrangères</w:t>
      </w:r>
      <w:r w:rsidRPr="0061020E">
        <w:rPr>
          <w:rFonts w:ascii="Rockwell" w:hAnsi="Rockwell"/>
          <w:sz w:val="24"/>
          <w:szCs w:val="24"/>
        </w:rPr>
        <w:t xml:space="preserve"> et de toute rancidité.</w:t>
      </w:r>
    </w:p>
    <w:p w:rsidR="008C7F3C" w:rsidRPr="0061020E" w:rsidRDefault="008C7F3C" w:rsidP="008F6018">
      <w:pPr>
        <w:spacing w:after="120" w:line="240" w:lineRule="auto"/>
        <w:jc w:val="both"/>
        <w:rPr>
          <w:rFonts w:ascii="Rockwell" w:hAnsi="Rockwell"/>
          <w:sz w:val="24"/>
          <w:szCs w:val="24"/>
        </w:rPr>
      </w:pPr>
    </w:p>
    <w:tbl>
      <w:tblPr>
        <w:tblStyle w:val="Grilledutableau"/>
        <w:tblW w:w="8931" w:type="dxa"/>
        <w:tblInd w:w="-5" w:type="dxa"/>
        <w:tblLook w:val="01E0" w:firstRow="1" w:lastRow="1" w:firstColumn="1" w:lastColumn="1" w:noHBand="0" w:noVBand="0"/>
      </w:tblPr>
      <w:tblGrid>
        <w:gridCol w:w="4816"/>
        <w:gridCol w:w="4115"/>
      </w:tblGrid>
      <w:tr w:rsidR="008C7F3C" w:rsidRPr="006847BA" w:rsidTr="00AC2B6D">
        <w:trPr>
          <w:trHeight w:val="274"/>
        </w:trPr>
        <w:tc>
          <w:tcPr>
            <w:tcW w:w="4816" w:type="dxa"/>
          </w:tcPr>
          <w:p w:rsidR="008C7F3C" w:rsidRPr="0061020E" w:rsidRDefault="00E25D2A" w:rsidP="00AC2B6D">
            <w:pPr>
              <w:spacing w:after="120"/>
              <w:jc w:val="center"/>
              <w:rPr>
                <w:rFonts w:ascii="Rockwell" w:hAnsi="Rockwell"/>
                <w:sz w:val="24"/>
                <w:szCs w:val="24"/>
              </w:rPr>
            </w:pPr>
            <w:r w:rsidRPr="0061020E">
              <w:rPr>
                <w:rFonts w:ascii="Rockwell" w:hAnsi="Rockwell"/>
                <w:b/>
                <w:bCs/>
                <w:sz w:val="24"/>
                <w:szCs w:val="24"/>
              </w:rPr>
              <w:t>F</w:t>
            </w:r>
            <w:r w:rsidR="00AC2B6D">
              <w:rPr>
                <w:rFonts w:ascii="Rockwell" w:hAnsi="Rockwell"/>
                <w:b/>
                <w:bCs/>
                <w:sz w:val="24"/>
                <w:szCs w:val="24"/>
              </w:rPr>
              <w:t>acteurs de qualité</w:t>
            </w:r>
          </w:p>
        </w:tc>
        <w:tc>
          <w:tcPr>
            <w:tcW w:w="4115" w:type="dxa"/>
          </w:tcPr>
          <w:p w:rsidR="008C7F3C" w:rsidRPr="0061020E" w:rsidRDefault="008C7F3C" w:rsidP="00AC2B6D">
            <w:pPr>
              <w:spacing w:after="120"/>
              <w:jc w:val="center"/>
              <w:rPr>
                <w:rFonts w:ascii="Rockwell" w:hAnsi="Rockwell"/>
                <w:sz w:val="24"/>
                <w:szCs w:val="24"/>
              </w:rPr>
            </w:pPr>
            <w:r w:rsidRPr="0061020E">
              <w:rPr>
                <w:rFonts w:ascii="Rockwell" w:hAnsi="Rockwell"/>
                <w:b/>
                <w:bCs/>
                <w:sz w:val="24"/>
                <w:szCs w:val="24"/>
              </w:rPr>
              <w:t>Concentration maximale</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Matières volatiles à 105° C</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0,2 % m/m</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Impuretés insolubles</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0,05 % m/m</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Teneur en savon</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0,005 % m/m</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Fer (Fe)</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1,5 mg/kg</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Cuivre (Cu)</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0,1 mg/kg</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Indice d'acide</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0,6 mg KOH/g d'huile</w:t>
            </w:r>
          </w:p>
        </w:tc>
      </w:tr>
      <w:tr w:rsidR="008C7F3C" w:rsidRPr="006847BA" w:rsidTr="00A2489C">
        <w:tc>
          <w:tcPr>
            <w:tcW w:w="481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Indice de peroxyde</w:t>
            </w:r>
          </w:p>
        </w:tc>
        <w:tc>
          <w:tcPr>
            <w:tcW w:w="411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Jusqu'à 10 milliéquivalents d'oxygène actif /kg d'huile</w:t>
            </w:r>
          </w:p>
        </w:tc>
      </w:tr>
    </w:tbl>
    <w:p w:rsidR="00696001" w:rsidRPr="0061020E" w:rsidRDefault="00696001"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bookmarkStart w:id="151" w:name="_Toc153207567"/>
      <w:r w:rsidRPr="0061020E">
        <w:rPr>
          <w:rFonts w:ascii="Rockwell" w:hAnsi="Rockwell"/>
          <w:sz w:val="24"/>
          <w:szCs w:val="24"/>
        </w:rPr>
        <w:t>F</w:t>
      </w:r>
      <w:bookmarkEnd w:id="151"/>
      <w:r w:rsidRPr="0061020E">
        <w:rPr>
          <w:rFonts w:ascii="Rockwell" w:hAnsi="Rockwell"/>
          <w:sz w:val="24"/>
          <w:szCs w:val="24"/>
        </w:rPr>
        <w:t xml:space="preserve">acteurs de composition </w:t>
      </w:r>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 xml:space="preserve">La réaction d’Halphen de l’huile de coton doit être positive. </w:t>
      </w:r>
    </w:p>
    <w:p w:rsidR="00AE30D2" w:rsidRPr="0061020E" w:rsidRDefault="00AE30D2" w:rsidP="008F6018">
      <w:pPr>
        <w:spacing w:after="120" w:line="240" w:lineRule="auto"/>
        <w:jc w:val="both"/>
        <w:rPr>
          <w:rFonts w:ascii="Rockwell" w:hAnsi="Rockwell"/>
          <w:b/>
          <w:bCs/>
          <w:sz w:val="24"/>
          <w:szCs w:val="24"/>
        </w:rPr>
      </w:pPr>
    </w:p>
    <w:p w:rsidR="008C7F3C" w:rsidRPr="0061020E" w:rsidRDefault="008C7F3C" w:rsidP="008F6018">
      <w:pPr>
        <w:spacing w:after="120" w:line="240" w:lineRule="auto"/>
        <w:jc w:val="both"/>
        <w:rPr>
          <w:rFonts w:ascii="Rockwell" w:hAnsi="Rockwell"/>
          <w:b/>
          <w:bCs/>
          <w:sz w:val="24"/>
          <w:szCs w:val="24"/>
        </w:rPr>
      </w:pPr>
      <w:r w:rsidRPr="0061020E">
        <w:rPr>
          <w:rFonts w:ascii="Rockwell" w:hAnsi="Rockwell"/>
          <w:b/>
          <w:bCs/>
          <w:sz w:val="24"/>
          <w:szCs w:val="24"/>
        </w:rPr>
        <w:t>Teneur en gossypols (pour le cas de l’huile de coton)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La teneur en gossypols de l'huile de coton comestible doit être nulle</w:t>
      </w:r>
    </w:p>
    <w:p w:rsidR="00A2489C" w:rsidRPr="0061020E" w:rsidRDefault="00A2489C" w:rsidP="008F6018">
      <w:pPr>
        <w:spacing w:after="120" w:line="240" w:lineRule="auto"/>
        <w:jc w:val="both"/>
        <w:rPr>
          <w:rFonts w:ascii="Rockwell" w:hAnsi="Rockwell"/>
          <w:sz w:val="24"/>
          <w:szCs w:val="24"/>
        </w:rPr>
      </w:pPr>
      <w:bookmarkStart w:id="152" w:name="_Toc153207568"/>
    </w:p>
    <w:p w:rsidR="008C7F3C" w:rsidRPr="0061020E" w:rsidRDefault="00255AD4" w:rsidP="008F6018">
      <w:pPr>
        <w:spacing w:after="120" w:line="240" w:lineRule="auto"/>
        <w:jc w:val="both"/>
        <w:rPr>
          <w:rFonts w:ascii="Rockwell" w:hAnsi="Rockwell"/>
          <w:sz w:val="24"/>
          <w:szCs w:val="24"/>
        </w:rPr>
      </w:pPr>
      <w:r w:rsidRPr="0061020E">
        <w:rPr>
          <w:rFonts w:ascii="Rockwell" w:hAnsi="Rockwell"/>
          <w:sz w:val="24"/>
          <w:szCs w:val="24"/>
        </w:rPr>
        <w:t>Caractéristiques chimiques et physiques</w:t>
      </w:r>
      <w:bookmarkEnd w:id="152"/>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caractéristiques chimiques et physiques sont indiquées</w:t>
      </w:r>
      <w:r w:rsidR="00EF467D">
        <w:rPr>
          <w:rFonts w:ascii="Rockwell" w:hAnsi="Rockwell"/>
          <w:sz w:val="24"/>
          <w:szCs w:val="24"/>
        </w:rPr>
        <w:t>,</w:t>
      </w:r>
      <w:r w:rsidRPr="0061020E">
        <w:rPr>
          <w:rFonts w:ascii="Rockwell" w:hAnsi="Rockwell"/>
          <w:sz w:val="24"/>
          <w:szCs w:val="24"/>
        </w:rPr>
        <w:t xml:space="preserve"> ci-dessous :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01"/>
        <w:gridCol w:w="4097"/>
      </w:tblGrid>
      <w:tr w:rsidR="008C7F3C" w:rsidRPr="006847BA" w:rsidTr="00A2489C">
        <w:tc>
          <w:tcPr>
            <w:tcW w:w="5401"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Densité relative (x°C/eau à 20°C) </w:t>
            </w:r>
          </w:p>
        </w:tc>
        <w:tc>
          <w:tcPr>
            <w:tcW w:w="409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0.918-0.926 (x=20°C)</w:t>
            </w:r>
          </w:p>
        </w:tc>
      </w:tr>
      <w:tr w:rsidR="008C7F3C" w:rsidRPr="006847BA" w:rsidTr="00A2489C">
        <w:tc>
          <w:tcPr>
            <w:tcW w:w="5401"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Indice de réfraction  (ND 40°C)</w:t>
            </w:r>
          </w:p>
        </w:tc>
        <w:tc>
          <w:tcPr>
            <w:tcW w:w="409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1.458-1.466</w:t>
            </w:r>
          </w:p>
        </w:tc>
      </w:tr>
      <w:tr w:rsidR="008C7F3C" w:rsidRPr="006847BA" w:rsidTr="00A2489C">
        <w:tc>
          <w:tcPr>
            <w:tcW w:w="5401"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Indice de saponification (mg KOH/g d’huile)</w:t>
            </w:r>
          </w:p>
        </w:tc>
        <w:tc>
          <w:tcPr>
            <w:tcW w:w="409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189-198 </w:t>
            </w:r>
          </w:p>
        </w:tc>
      </w:tr>
      <w:tr w:rsidR="008C7F3C" w:rsidRPr="006847BA" w:rsidTr="00A2489C">
        <w:tc>
          <w:tcPr>
            <w:tcW w:w="5401"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Indice d’iode</w:t>
            </w:r>
          </w:p>
        </w:tc>
        <w:tc>
          <w:tcPr>
            <w:tcW w:w="409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100-123</w:t>
            </w:r>
          </w:p>
        </w:tc>
      </w:tr>
      <w:tr w:rsidR="008C7F3C" w:rsidRPr="006847BA" w:rsidTr="00A2489C">
        <w:tc>
          <w:tcPr>
            <w:tcW w:w="5401"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Insaponifiable (g/kg)</w:t>
            </w:r>
          </w:p>
        </w:tc>
        <w:tc>
          <w:tcPr>
            <w:tcW w:w="409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inférieur ou égal à 15 </w:t>
            </w:r>
          </w:p>
        </w:tc>
      </w:tr>
    </w:tbl>
    <w:p w:rsidR="00E11E9E" w:rsidRPr="0061020E" w:rsidRDefault="00E11E9E" w:rsidP="008F6018">
      <w:pPr>
        <w:spacing w:after="120" w:line="240" w:lineRule="auto"/>
        <w:jc w:val="both"/>
        <w:rPr>
          <w:rFonts w:ascii="Rockwell" w:hAnsi="Rockwell"/>
          <w:sz w:val="24"/>
          <w:szCs w:val="24"/>
        </w:rPr>
      </w:pPr>
    </w:p>
    <w:p w:rsidR="008C7F3C" w:rsidRPr="0061020E" w:rsidRDefault="00255AD4" w:rsidP="008F6018">
      <w:pPr>
        <w:spacing w:after="120" w:line="240" w:lineRule="auto"/>
        <w:jc w:val="both"/>
        <w:rPr>
          <w:rFonts w:ascii="Rockwell" w:hAnsi="Rockwell"/>
          <w:sz w:val="24"/>
          <w:szCs w:val="24"/>
        </w:rPr>
      </w:pPr>
      <w:r w:rsidRPr="0061020E">
        <w:rPr>
          <w:rFonts w:ascii="Rockwell" w:hAnsi="Rockwell"/>
          <w:sz w:val="24"/>
          <w:szCs w:val="24"/>
        </w:rPr>
        <w:t xml:space="preserve">Additifs alimentaires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Seuls les additifs autorisés peuvent être incorporés à l'huile comestible. </w:t>
      </w:r>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t>L’huile doit être enrichie en vitamine A dont la teneur est comprise entre 12 a 24 mg/kg.</w:t>
      </w:r>
    </w:p>
    <w:p w:rsidR="008B1A89" w:rsidRPr="0061020E" w:rsidRDefault="008B1A89"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Arômes </w:t>
      </w:r>
    </w:p>
    <w:p w:rsidR="00E11E9E"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Les arômes naturels et leurs équivalents synthétiques, sauf ceux qui sont connus pour présenter un risque de toxicité. </w:t>
      </w:r>
    </w:p>
    <w:p w:rsidR="00003277" w:rsidRDefault="00003277" w:rsidP="008F6018">
      <w:pPr>
        <w:spacing w:after="120" w:line="240" w:lineRule="auto"/>
        <w:jc w:val="both"/>
        <w:rPr>
          <w:rFonts w:ascii="Rockwell" w:hAnsi="Rockwell"/>
          <w:sz w:val="24"/>
          <w:szCs w:val="24"/>
        </w:rPr>
      </w:pPr>
    </w:p>
    <w:p w:rsidR="00003277" w:rsidRDefault="00003277" w:rsidP="008F6018">
      <w:pPr>
        <w:spacing w:after="120" w:line="240" w:lineRule="auto"/>
        <w:jc w:val="both"/>
        <w:rPr>
          <w:rFonts w:ascii="Rockwell" w:hAnsi="Rockwell"/>
          <w:sz w:val="24"/>
          <w:szCs w:val="24"/>
        </w:rPr>
      </w:pPr>
    </w:p>
    <w:p w:rsidR="00003277" w:rsidRDefault="00003277" w:rsidP="008F6018">
      <w:pPr>
        <w:spacing w:after="120" w:line="240" w:lineRule="auto"/>
        <w:jc w:val="both"/>
        <w:rPr>
          <w:rFonts w:ascii="Rockwell" w:hAnsi="Rockwell"/>
          <w:sz w:val="24"/>
          <w:szCs w:val="24"/>
        </w:rPr>
      </w:pPr>
    </w:p>
    <w:p w:rsidR="00003277" w:rsidRDefault="00003277" w:rsidP="008F6018">
      <w:pPr>
        <w:spacing w:after="120" w:line="240" w:lineRule="auto"/>
        <w:jc w:val="both"/>
        <w:rPr>
          <w:rFonts w:ascii="Rockwell" w:hAnsi="Rockwell"/>
          <w:sz w:val="24"/>
          <w:szCs w:val="24"/>
        </w:rPr>
      </w:pPr>
    </w:p>
    <w:p w:rsidR="00003277" w:rsidRDefault="00003277"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Antioxygènes</w:t>
      </w:r>
      <w:r w:rsidRPr="0061020E">
        <w:rPr>
          <w:rFonts w:ascii="Rockwell" w:hAnsi="Rockwell"/>
          <w:b/>
          <w:bCs/>
          <w:sz w:val="24"/>
          <w:szCs w:val="24"/>
        </w:rPr>
        <w:tab/>
      </w:r>
      <w:r w:rsidRPr="0061020E">
        <w:rPr>
          <w:rFonts w:ascii="Rockwell" w:hAnsi="Rockwell"/>
          <w:b/>
          <w:bCs/>
          <w:sz w:val="24"/>
          <w:szCs w:val="24"/>
        </w:rPr>
        <w:tab/>
      </w:r>
      <w:r w:rsidRPr="0061020E">
        <w:rPr>
          <w:rFonts w:ascii="Rockwell" w:hAnsi="Rockwell"/>
          <w:b/>
          <w:bCs/>
          <w:sz w:val="24"/>
          <w:szCs w:val="24"/>
        </w:rPr>
        <w:tab/>
      </w:r>
      <w:r w:rsidRPr="0061020E">
        <w:rPr>
          <w:rFonts w:ascii="Rockwell" w:hAnsi="Rockwell"/>
          <w:b/>
          <w:bCs/>
          <w:sz w:val="24"/>
          <w:szCs w:val="24"/>
        </w:rPr>
        <w:tab/>
      </w:r>
      <w:r w:rsidRPr="0061020E">
        <w:rPr>
          <w:rFonts w:ascii="Rockwell" w:hAnsi="Rockwell"/>
          <w:b/>
          <w:bCs/>
          <w:sz w:val="24"/>
          <w:szCs w:val="24"/>
        </w:rPr>
        <w:tab/>
      </w:r>
    </w:p>
    <w:tbl>
      <w:tblPr>
        <w:tblStyle w:val="Grilledutableau"/>
        <w:tblW w:w="0" w:type="auto"/>
        <w:tblLook w:val="01E0" w:firstRow="1" w:lastRow="1" w:firstColumn="1" w:lastColumn="1" w:noHBand="0" w:noVBand="0"/>
      </w:tblPr>
      <w:tblGrid>
        <w:gridCol w:w="921"/>
        <w:gridCol w:w="5570"/>
        <w:gridCol w:w="3137"/>
      </w:tblGrid>
      <w:tr w:rsidR="008C7F3C" w:rsidRPr="006847BA" w:rsidTr="00696001">
        <w:tc>
          <w:tcPr>
            <w:tcW w:w="921"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N°SIN</w:t>
            </w:r>
          </w:p>
        </w:tc>
        <w:tc>
          <w:tcPr>
            <w:tcW w:w="5570"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Antyoxygènes</w:t>
            </w:r>
          </w:p>
        </w:tc>
        <w:tc>
          <w:tcPr>
            <w:tcW w:w="3137"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Concentration maximale</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304</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Palmitate d'ascorbyle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500 mg/kg seuls ou en combinaison</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305</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Stéarate d'ascorbyle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500 mg/kg seuls ou en combinaison</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306</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Mélange concentré de tocophérols</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307</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Alpha-tocophérol</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308</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Gamma-tocophérol synthétique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309</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Delta-tocophérol synthétique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310</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Gallate de propyle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100mg/kg</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lastRenderedPageBreak/>
              <w:t>319</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Butylhydroquinone tertiaire (BHQT)</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120 mg/kg</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320</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Hydroxyanisol butyle (BHA)</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175 mg/kg</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321</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Hydroxytoluène butyle (BHT)</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75 mg/kg</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Toute combinaison de gallate de propyle BHA, BHT et/ou BHQT </w:t>
            </w:r>
            <w:r w:rsidR="00EF467D">
              <w:rPr>
                <w:rFonts w:ascii="Rockwell" w:hAnsi="Rockwell"/>
                <w:sz w:val="24"/>
                <w:szCs w:val="24"/>
              </w:rPr>
              <w:t xml:space="preserve">ne doit </w:t>
            </w:r>
            <w:r w:rsidRPr="0061020E">
              <w:rPr>
                <w:rFonts w:ascii="Rockwell" w:hAnsi="Rockwell"/>
                <w:sz w:val="24"/>
                <w:szCs w:val="24"/>
              </w:rPr>
              <w:t>dépasser les limites ci-dessus</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200 mg/kg à condition de ne dépasser les limites ci-dessus</w:t>
            </w:r>
          </w:p>
        </w:tc>
      </w:tr>
      <w:tr w:rsidR="008C7F3C" w:rsidRPr="006847BA" w:rsidTr="00696001">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389</w:t>
            </w:r>
          </w:p>
        </w:tc>
        <w:tc>
          <w:tcPr>
            <w:tcW w:w="5570"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Thiodipropionate de dilauryle</w:t>
            </w:r>
          </w:p>
        </w:tc>
        <w:tc>
          <w:tcPr>
            <w:tcW w:w="313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200 mg/kg</w:t>
            </w:r>
          </w:p>
        </w:tc>
      </w:tr>
    </w:tbl>
    <w:p w:rsidR="008C7F3C" w:rsidRPr="0061020E" w:rsidRDefault="008C7F3C" w:rsidP="008F6018">
      <w:pPr>
        <w:spacing w:after="120" w:line="240" w:lineRule="auto"/>
        <w:jc w:val="both"/>
        <w:rPr>
          <w:rFonts w:ascii="Rockwell" w:hAnsi="Rockwell"/>
          <w:sz w:val="24"/>
          <w:szCs w:val="24"/>
        </w:rPr>
      </w:pPr>
    </w:p>
    <w:p w:rsidR="00E11E9E"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Antioxygènes synergiques</w:t>
      </w:r>
    </w:p>
    <w:tbl>
      <w:tblPr>
        <w:tblStyle w:val="Grilledutableau"/>
        <w:tblW w:w="0" w:type="auto"/>
        <w:tblLayout w:type="fixed"/>
        <w:tblLook w:val="01E0" w:firstRow="1" w:lastRow="1" w:firstColumn="1" w:lastColumn="1" w:noHBand="0" w:noVBand="0"/>
      </w:tblPr>
      <w:tblGrid>
        <w:gridCol w:w="959"/>
        <w:gridCol w:w="5386"/>
        <w:gridCol w:w="3277"/>
      </w:tblGrid>
      <w:tr w:rsidR="008C7F3C" w:rsidRPr="006847BA" w:rsidTr="00CF55C0">
        <w:tc>
          <w:tcPr>
            <w:tcW w:w="959"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N°SIN</w:t>
            </w:r>
          </w:p>
        </w:tc>
        <w:tc>
          <w:tcPr>
            <w:tcW w:w="5386"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Antioxygènes synergiques</w:t>
            </w:r>
          </w:p>
        </w:tc>
        <w:tc>
          <w:tcPr>
            <w:tcW w:w="3277"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Concentration maximale</w:t>
            </w:r>
          </w:p>
        </w:tc>
      </w:tr>
      <w:tr w:rsidR="008C7F3C" w:rsidRPr="006847BA" w:rsidTr="00CF55C0">
        <w:tc>
          <w:tcPr>
            <w:tcW w:w="959"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330</w:t>
            </w:r>
          </w:p>
        </w:tc>
        <w:tc>
          <w:tcPr>
            <w:tcW w:w="538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Acide citrique</w:t>
            </w:r>
          </w:p>
        </w:tc>
        <w:tc>
          <w:tcPr>
            <w:tcW w:w="327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CF55C0">
        <w:tc>
          <w:tcPr>
            <w:tcW w:w="959"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331</w:t>
            </w:r>
          </w:p>
        </w:tc>
        <w:tc>
          <w:tcPr>
            <w:tcW w:w="5386" w:type="dxa"/>
          </w:tcPr>
          <w:p w:rsidR="008C7F3C" w:rsidRPr="0061020E" w:rsidRDefault="008C7F3C" w:rsidP="00EF467D">
            <w:pPr>
              <w:spacing w:after="120"/>
              <w:jc w:val="both"/>
              <w:rPr>
                <w:rFonts w:ascii="Rockwell" w:hAnsi="Rockwell"/>
                <w:sz w:val="24"/>
                <w:szCs w:val="24"/>
              </w:rPr>
            </w:pPr>
            <w:r w:rsidRPr="0061020E">
              <w:rPr>
                <w:rFonts w:ascii="Rockwell" w:hAnsi="Rockwell"/>
                <w:sz w:val="24"/>
                <w:szCs w:val="24"/>
              </w:rPr>
              <w:t>Citrate de sodium</w:t>
            </w:r>
          </w:p>
        </w:tc>
        <w:tc>
          <w:tcPr>
            <w:tcW w:w="327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BPF</w:t>
            </w:r>
          </w:p>
        </w:tc>
      </w:tr>
      <w:tr w:rsidR="008C7F3C" w:rsidRPr="006847BA" w:rsidTr="00CF55C0">
        <w:tc>
          <w:tcPr>
            <w:tcW w:w="959"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384</w:t>
            </w:r>
          </w:p>
        </w:tc>
        <w:tc>
          <w:tcPr>
            <w:tcW w:w="5386" w:type="dxa"/>
          </w:tcPr>
          <w:p w:rsidR="008C7F3C" w:rsidRPr="0061020E" w:rsidRDefault="00EF467D" w:rsidP="008F6018">
            <w:pPr>
              <w:spacing w:after="120"/>
              <w:jc w:val="both"/>
              <w:rPr>
                <w:rFonts w:ascii="Rockwell" w:hAnsi="Rockwell"/>
                <w:sz w:val="24"/>
                <w:szCs w:val="24"/>
              </w:rPr>
            </w:pPr>
            <w:r>
              <w:rPr>
                <w:rFonts w:ascii="Rockwell" w:hAnsi="Rockwell"/>
                <w:sz w:val="24"/>
                <w:szCs w:val="24"/>
              </w:rPr>
              <w:t>Citrate</w:t>
            </w:r>
            <w:r w:rsidR="008C7F3C" w:rsidRPr="0061020E">
              <w:rPr>
                <w:rFonts w:ascii="Rockwell" w:hAnsi="Rockwell"/>
                <w:sz w:val="24"/>
                <w:szCs w:val="24"/>
              </w:rPr>
              <w:t xml:space="preserve"> d'isopropyle</w:t>
            </w:r>
          </w:p>
        </w:tc>
        <w:tc>
          <w:tcPr>
            <w:tcW w:w="327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100 mg/kg seuls ou en combinaison</w:t>
            </w:r>
          </w:p>
        </w:tc>
      </w:tr>
      <w:tr w:rsidR="008C7F3C" w:rsidRPr="006847BA" w:rsidTr="008366DD">
        <w:trPr>
          <w:trHeight w:val="288"/>
        </w:trPr>
        <w:tc>
          <w:tcPr>
            <w:tcW w:w="959" w:type="dxa"/>
          </w:tcPr>
          <w:p w:rsidR="008C7F3C" w:rsidRPr="0061020E" w:rsidRDefault="008C7F3C" w:rsidP="008F6018">
            <w:pPr>
              <w:spacing w:after="120"/>
              <w:jc w:val="both"/>
              <w:rPr>
                <w:rFonts w:ascii="Rockwell" w:hAnsi="Rockwell"/>
                <w:sz w:val="24"/>
                <w:szCs w:val="24"/>
              </w:rPr>
            </w:pPr>
          </w:p>
        </w:tc>
        <w:tc>
          <w:tcPr>
            <w:tcW w:w="5386"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 xml:space="preserve">Citrate de monoglycéride   </w:t>
            </w:r>
          </w:p>
        </w:tc>
        <w:tc>
          <w:tcPr>
            <w:tcW w:w="3277"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100 mg/kg seuls ou en combinaison</w:t>
            </w:r>
          </w:p>
        </w:tc>
      </w:tr>
    </w:tbl>
    <w:p w:rsidR="008C7F3C" w:rsidRPr="0061020E" w:rsidRDefault="008C7F3C" w:rsidP="008F6018">
      <w:pPr>
        <w:spacing w:after="120" w:line="240" w:lineRule="auto"/>
        <w:jc w:val="both"/>
        <w:rPr>
          <w:rFonts w:ascii="Rockwell" w:hAnsi="Rockwell"/>
          <w:b/>
          <w:bCs/>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Antimoussants (huiles de</w:t>
      </w:r>
      <w:r w:rsidR="00A2489C" w:rsidRPr="0061020E">
        <w:rPr>
          <w:rFonts w:ascii="Rockwell" w:hAnsi="Rockwell"/>
          <w:sz w:val="24"/>
          <w:szCs w:val="24"/>
        </w:rPr>
        <w:t xml:space="preserve"> friture) </w:t>
      </w:r>
    </w:p>
    <w:tbl>
      <w:tblPr>
        <w:tblStyle w:val="Grilledutableau"/>
        <w:tblW w:w="0" w:type="auto"/>
        <w:tblLook w:val="01E0" w:firstRow="1" w:lastRow="1" w:firstColumn="1" w:lastColumn="1" w:noHBand="0" w:noVBand="0"/>
      </w:tblPr>
      <w:tblGrid>
        <w:gridCol w:w="921"/>
        <w:gridCol w:w="5353"/>
        <w:gridCol w:w="3095"/>
      </w:tblGrid>
      <w:tr w:rsidR="008C7F3C" w:rsidRPr="006847BA" w:rsidTr="008366DD">
        <w:trPr>
          <w:trHeight w:val="511"/>
        </w:trPr>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b/>
                <w:bCs/>
                <w:sz w:val="24"/>
                <w:szCs w:val="24"/>
              </w:rPr>
              <w:t>N°SIN</w:t>
            </w:r>
          </w:p>
        </w:tc>
        <w:tc>
          <w:tcPr>
            <w:tcW w:w="5353"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Antimoussants (huiles de friture)</w:t>
            </w:r>
          </w:p>
        </w:tc>
        <w:tc>
          <w:tcPr>
            <w:tcW w:w="3095"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Concentration maximale</w:t>
            </w:r>
          </w:p>
        </w:tc>
      </w:tr>
      <w:tr w:rsidR="008C7F3C" w:rsidRPr="006847BA" w:rsidTr="008366DD">
        <w:trPr>
          <w:trHeight w:val="465"/>
        </w:trPr>
        <w:tc>
          <w:tcPr>
            <w:tcW w:w="921"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900 a</w:t>
            </w:r>
          </w:p>
        </w:tc>
        <w:tc>
          <w:tcPr>
            <w:tcW w:w="5353"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Polydiméthylsiloxane</w:t>
            </w:r>
          </w:p>
        </w:tc>
        <w:tc>
          <w:tcPr>
            <w:tcW w:w="3095"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10 mg/kg</w:t>
            </w:r>
          </w:p>
        </w:tc>
      </w:tr>
    </w:tbl>
    <w:p w:rsidR="00104BBA" w:rsidRDefault="00104BBA" w:rsidP="008F6018">
      <w:pPr>
        <w:spacing w:after="120" w:line="240" w:lineRule="auto"/>
        <w:jc w:val="both"/>
        <w:rPr>
          <w:rFonts w:ascii="Rockwell" w:hAnsi="Rockwell"/>
          <w:sz w:val="24"/>
          <w:szCs w:val="24"/>
        </w:rPr>
      </w:pPr>
      <w:bookmarkStart w:id="153" w:name="_Toc153207570"/>
    </w:p>
    <w:p w:rsidR="006F1383" w:rsidRDefault="006F1383" w:rsidP="008F6018">
      <w:pPr>
        <w:spacing w:after="120" w:line="240" w:lineRule="auto"/>
        <w:jc w:val="both"/>
        <w:rPr>
          <w:rFonts w:ascii="Rockwell" w:hAnsi="Rockwell"/>
          <w:sz w:val="24"/>
          <w:szCs w:val="24"/>
        </w:rPr>
      </w:pPr>
    </w:p>
    <w:p w:rsidR="008366DD" w:rsidRDefault="008366DD" w:rsidP="008F6018">
      <w:pPr>
        <w:spacing w:after="120" w:line="240" w:lineRule="auto"/>
        <w:jc w:val="both"/>
        <w:rPr>
          <w:rFonts w:ascii="Rockwell" w:hAnsi="Rockwell"/>
          <w:sz w:val="24"/>
          <w:szCs w:val="24"/>
        </w:rPr>
      </w:pPr>
    </w:p>
    <w:p w:rsidR="008366DD" w:rsidRDefault="008366DD" w:rsidP="008F6018">
      <w:pPr>
        <w:spacing w:after="120" w:line="240" w:lineRule="auto"/>
        <w:jc w:val="both"/>
        <w:rPr>
          <w:rFonts w:ascii="Rockwell" w:hAnsi="Rockwell"/>
          <w:sz w:val="24"/>
          <w:szCs w:val="24"/>
        </w:rPr>
      </w:pPr>
    </w:p>
    <w:p w:rsidR="008366DD" w:rsidRDefault="008366DD" w:rsidP="008F6018">
      <w:pPr>
        <w:spacing w:after="120" w:line="240" w:lineRule="auto"/>
        <w:jc w:val="both"/>
        <w:rPr>
          <w:rFonts w:ascii="Rockwell" w:hAnsi="Rockwell"/>
          <w:sz w:val="24"/>
          <w:szCs w:val="24"/>
        </w:rPr>
      </w:pPr>
    </w:p>
    <w:p w:rsidR="008C7F3C" w:rsidRPr="0061020E" w:rsidRDefault="00AC2079" w:rsidP="008F6018">
      <w:pPr>
        <w:spacing w:after="120" w:line="240" w:lineRule="auto"/>
        <w:jc w:val="both"/>
        <w:rPr>
          <w:rFonts w:ascii="Rockwell" w:hAnsi="Rockwell"/>
          <w:sz w:val="24"/>
          <w:szCs w:val="24"/>
        </w:rPr>
      </w:pPr>
      <w:r w:rsidRPr="0061020E">
        <w:rPr>
          <w:rFonts w:ascii="Rockwell" w:hAnsi="Rockwell"/>
          <w:sz w:val="24"/>
          <w:szCs w:val="24"/>
        </w:rPr>
        <w:t>Contaminants</w:t>
      </w:r>
      <w:bookmarkEnd w:id="153"/>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b/>
          <w:bCs/>
          <w:sz w:val="24"/>
          <w:szCs w:val="24"/>
        </w:rPr>
        <w:t xml:space="preserve">Métaux lourds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huiles doivent être conformes aux limites fixées par la Commission du Codex Alimentarius. Toutefois</w:t>
      </w:r>
      <w:r w:rsidR="008D1CE4" w:rsidRPr="0061020E">
        <w:rPr>
          <w:rFonts w:ascii="Rockwell" w:hAnsi="Rockwell"/>
          <w:sz w:val="24"/>
          <w:szCs w:val="24"/>
        </w:rPr>
        <w:t>,</w:t>
      </w:r>
      <w:r w:rsidRPr="0061020E">
        <w:rPr>
          <w:rFonts w:ascii="Rockwell" w:hAnsi="Rockwell"/>
          <w:sz w:val="24"/>
          <w:szCs w:val="24"/>
        </w:rPr>
        <w:t xml:space="preserve"> les lim</w:t>
      </w:r>
      <w:r w:rsidR="00A2489C" w:rsidRPr="0061020E">
        <w:rPr>
          <w:rFonts w:ascii="Rockwell" w:hAnsi="Rockwell"/>
          <w:sz w:val="24"/>
          <w:szCs w:val="24"/>
        </w:rPr>
        <w:t>ites ci-après</w:t>
      </w:r>
      <w:r w:rsidR="00EF467D">
        <w:rPr>
          <w:rFonts w:ascii="Rockwell" w:hAnsi="Rockwell"/>
          <w:sz w:val="24"/>
          <w:szCs w:val="24"/>
        </w:rPr>
        <w:t>,</w:t>
      </w:r>
      <w:r w:rsidR="00A2489C" w:rsidRPr="0061020E">
        <w:rPr>
          <w:rFonts w:ascii="Rockwell" w:hAnsi="Rockwell"/>
          <w:sz w:val="24"/>
          <w:szCs w:val="24"/>
        </w:rPr>
        <w:t xml:space="preserve"> sont applicables</w:t>
      </w:r>
      <w:r w:rsidR="00104BBA" w:rsidRPr="0061020E">
        <w:rPr>
          <w:rFonts w:ascii="Rockwell" w:hAnsi="Rockwell"/>
          <w:sz w:val="24"/>
          <w:szCs w:val="24"/>
        </w:rPr>
        <w:t> :</w:t>
      </w:r>
    </w:p>
    <w:tbl>
      <w:tblPr>
        <w:tblStyle w:val="Grilledutableau"/>
        <w:tblW w:w="0" w:type="auto"/>
        <w:tblLook w:val="01E0" w:firstRow="1" w:lastRow="1" w:firstColumn="1" w:lastColumn="1" w:noHBand="0" w:noVBand="0"/>
      </w:tblPr>
      <w:tblGrid>
        <w:gridCol w:w="4773"/>
        <w:gridCol w:w="4773"/>
      </w:tblGrid>
      <w:tr w:rsidR="008C7F3C" w:rsidRPr="006847BA" w:rsidTr="00CF55C0">
        <w:tc>
          <w:tcPr>
            <w:tcW w:w="4773" w:type="dxa"/>
          </w:tcPr>
          <w:p w:rsidR="008C7F3C" w:rsidRPr="0061020E" w:rsidRDefault="008C7F3C" w:rsidP="008F6018">
            <w:pPr>
              <w:spacing w:after="120"/>
              <w:jc w:val="both"/>
              <w:rPr>
                <w:rFonts w:ascii="Rockwell" w:hAnsi="Rockwell"/>
                <w:b/>
                <w:bCs/>
                <w:sz w:val="24"/>
                <w:szCs w:val="24"/>
              </w:rPr>
            </w:pPr>
          </w:p>
        </w:tc>
        <w:tc>
          <w:tcPr>
            <w:tcW w:w="4773" w:type="dxa"/>
          </w:tcPr>
          <w:p w:rsidR="008C7F3C" w:rsidRPr="0061020E" w:rsidRDefault="008C7F3C" w:rsidP="008F6018">
            <w:pPr>
              <w:spacing w:after="120"/>
              <w:jc w:val="both"/>
              <w:rPr>
                <w:rFonts w:ascii="Rockwell" w:hAnsi="Rockwell"/>
                <w:b/>
                <w:bCs/>
                <w:sz w:val="24"/>
                <w:szCs w:val="24"/>
              </w:rPr>
            </w:pPr>
            <w:r w:rsidRPr="0061020E">
              <w:rPr>
                <w:rFonts w:ascii="Rockwell" w:hAnsi="Rockwell"/>
                <w:b/>
                <w:bCs/>
                <w:sz w:val="24"/>
                <w:szCs w:val="24"/>
              </w:rPr>
              <w:t>Concentration maximale autorisée</w:t>
            </w:r>
          </w:p>
        </w:tc>
      </w:tr>
      <w:tr w:rsidR="008C7F3C" w:rsidRPr="006847BA" w:rsidTr="00CF55C0">
        <w:tc>
          <w:tcPr>
            <w:tcW w:w="4773"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Plomb(Pb)</w:t>
            </w:r>
          </w:p>
        </w:tc>
        <w:tc>
          <w:tcPr>
            <w:tcW w:w="4773"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0,1 mg/kg</w:t>
            </w:r>
          </w:p>
        </w:tc>
      </w:tr>
      <w:tr w:rsidR="008C7F3C" w:rsidRPr="006847BA" w:rsidTr="00CF55C0">
        <w:tc>
          <w:tcPr>
            <w:tcW w:w="4773"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Arsenic(As)</w:t>
            </w:r>
          </w:p>
        </w:tc>
        <w:tc>
          <w:tcPr>
            <w:tcW w:w="4773" w:type="dxa"/>
          </w:tcPr>
          <w:p w:rsidR="008C7F3C" w:rsidRPr="0061020E" w:rsidRDefault="008C7F3C" w:rsidP="008F6018">
            <w:pPr>
              <w:spacing w:after="120"/>
              <w:jc w:val="both"/>
              <w:rPr>
                <w:rFonts w:ascii="Rockwell" w:hAnsi="Rockwell"/>
                <w:sz w:val="24"/>
                <w:szCs w:val="24"/>
              </w:rPr>
            </w:pPr>
            <w:r w:rsidRPr="0061020E">
              <w:rPr>
                <w:rFonts w:ascii="Rockwell" w:hAnsi="Rockwell"/>
                <w:sz w:val="24"/>
                <w:szCs w:val="24"/>
              </w:rPr>
              <w:t>0,1 mg/kg</w:t>
            </w:r>
          </w:p>
        </w:tc>
      </w:tr>
    </w:tbl>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Résidus de pesticides </w:t>
      </w:r>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Les huiles faisant l’objet de commande publique doivent être conformes aux limites maximales de résidus fixées pour ces produits par la Commission du Codex Alimentarius. </w:t>
      </w:r>
    </w:p>
    <w:p w:rsidR="006F1383" w:rsidRPr="0061020E" w:rsidRDefault="006F1383" w:rsidP="008F6018">
      <w:pPr>
        <w:spacing w:after="120" w:line="240" w:lineRule="auto"/>
        <w:jc w:val="both"/>
        <w:rPr>
          <w:rFonts w:ascii="Rockwell" w:hAnsi="Rockwell"/>
          <w:sz w:val="24"/>
          <w:szCs w:val="24"/>
        </w:rPr>
      </w:pPr>
    </w:p>
    <w:p w:rsidR="00E11E9E" w:rsidRPr="0061020E" w:rsidRDefault="00AC2079" w:rsidP="008F6018">
      <w:pPr>
        <w:spacing w:after="120" w:line="240" w:lineRule="auto"/>
        <w:jc w:val="both"/>
        <w:rPr>
          <w:rFonts w:ascii="Rockwell" w:hAnsi="Rockwell"/>
          <w:sz w:val="24"/>
          <w:szCs w:val="24"/>
        </w:rPr>
      </w:pPr>
      <w:bookmarkStart w:id="154" w:name="_Toc153207571"/>
      <w:r w:rsidRPr="0061020E">
        <w:rPr>
          <w:rFonts w:ascii="Rockwell" w:hAnsi="Rockwell"/>
          <w:sz w:val="24"/>
          <w:szCs w:val="24"/>
        </w:rPr>
        <w:lastRenderedPageBreak/>
        <w:t>Hygiène</w:t>
      </w:r>
      <w:bookmarkEnd w:id="154"/>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bCs/>
          <w:sz w:val="24"/>
          <w:szCs w:val="24"/>
        </w:rPr>
        <w:t>La production et la manipulation des huiles doivent se faire</w:t>
      </w:r>
      <w:r w:rsidR="00EF467D">
        <w:rPr>
          <w:rFonts w:ascii="Rockwell" w:hAnsi="Rockwell"/>
          <w:bCs/>
          <w:sz w:val="24"/>
          <w:szCs w:val="24"/>
        </w:rPr>
        <w:t>,</w:t>
      </w:r>
      <w:r w:rsidRPr="0061020E">
        <w:rPr>
          <w:rFonts w:ascii="Rockwell" w:hAnsi="Rockwell"/>
          <w:bCs/>
          <w:sz w:val="24"/>
          <w:szCs w:val="24"/>
        </w:rPr>
        <w:t xml:space="preserve"> </w:t>
      </w:r>
      <w:r w:rsidRPr="0061020E">
        <w:rPr>
          <w:rFonts w:ascii="Rockwell" w:hAnsi="Rockwell"/>
          <w:sz w:val="24"/>
          <w:szCs w:val="24"/>
        </w:rPr>
        <w:t xml:space="preserve">conformément aux sections appropriées du Code </w:t>
      </w:r>
      <w:r w:rsidR="00EF467D">
        <w:rPr>
          <w:rFonts w:ascii="Rockwell" w:hAnsi="Rockwell"/>
          <w:sz w:val="24"/>
          <w:szCs w:val="24"/>
        </w:rPr>
        <w:t>b</w:t>
      </w:r>
      <w:r w:rsidRPr="0061020E">
        <w:rPr>
          <w:rFonts w:ascii="Rockwell" w:hAnsi="Rockwell"/>
          <w:sz w:val="24"/>
          <w:szCs w:val="24"/>
        </w:rPr>
        <w:t>urkinab</w:t>
      </w:r>
      <w:r w:rsidR="00EF467D">
        <w:rPr>
          <w:rFonts w:ascii="Rockwell" w:hAnsi="Rockwell"/>
          <w:sz w:val="24"/>
          <w:szCs w:val="24"/>
        </w:rPr>
        <w:t>è recommandé - p</w:t>
      </w:r>
      <w:r w:rsidRPr="0061020E">
        <w:rPr>
          <w:rFonts w:ascii="Rockwell" w:hAnsi="Rockwell"/>
          <w:sz w:val="24"/>
          <w:szCs w:val="24"/>
        </w:rPr>
        <w:t xml:space="preserve">rincipes généraux d'hygiène alimentaire, ainsi que des autres textes pertinents </w:t>
      </w:r>
      <w:r w:rsidR="00EF467D">
        <w:rPr>
          <w:rFonts w:ascii="Rockwell" w:hAnsi="Rockwell"/>
          <w:sz w:val="24"/>
          <w:szCs w:val="24"/>
        </w:rPr>
        <w:t>a</w:t>
      </w:r>
      <w:r w:rsidRPr="0061020E">
        <w:rPr>
          <w:rFonts w:ascii="Rockwell" w:hAnsi="Rockwell"/>
          <w:sz w:val="24"/>
          <w:szCs w:val="24"/>
        </w:rPr>
        <w:t>u Codex</w:t>
      </w:r>
      <w:r w:rsidR="00EF467D">
        <w:rPr>
          <w:rFonts w:ascii="Rockwell" w:hAnsi="Rockwell"/>
          <w:sz w:val="24"/>
          <w:szCs w:val="24"/>
        </w:rPr>
        <w:t>,</w:t>
      </w:r>
      <w:r w:rsidRPr="0061020E">
        <w:rPr>
          <w:rFonts w:ascii="Rockwell" w:hAnsi="Rockwell"/>
          <w:sz w:val="24"/>
          <w:szCs w:val="24"/>
        </w:rPr>
        <w:t xml:space="preserve"> tels que les codes d’usage en matière d’hygiène et autres codes d’usage. </w:t>
      </w:r>
    </w:p>
    <w:p w:rsidR="008C7F3C" w:rsidRDefault="008C7F3C" w:rsidP="008F6018">
      <w:pPr>
        <w:spacing w:after="120" w:line="240" w:lineRule="auto"/>
        <w:jc w:val="both"/>
        <w:rPr>
          <w:rFonts w:ascii="Rockwell" w:hAnsi="Rockwell"/>
          <w:sz w:val="24"/>
          <w:szCs w:val="24"/>
        </w:rPr>
      </w:pPr>
      <w:r w:rsidRPr="0061020E">
        <w:rPr>
          <w:rFonts w:ascii="Rockwell" w:hAnsi="Rockwell"/>
          <w:bCs/>
          <w:sz w:val="24"/>
          <w:szCs w:val="24"/>
        </w:rPr>
        <w:t>Les huiles</w:t>
      </w:r>
      <w:r w:rsidRPr="0061020E">
        <w:rPr>
          <w:rFonts w:ascii="Rockwell" w:hAnsi="Rockwell"/>
          <w:b/>
          <w:bCs/>
          <w:sz w:val="24"/>
          <w:szCs w:val="24"/>
        </w:rPr>
        <w:t xml:space="preserve"> </w:t>
      </w:r>
      <w:r w:rsidRPr="0061020E">
        <w:rPr>
          <w:rFonts w:ascii="Rockwell" w:hAnsi="Rockwell"/>
          <w:sz w:val="24"/>
          <w:szCs w:val="24"/>
        </w:rPr>
        <w:t>doivent répondre à tous les critères microbiologiques établis</w:t>
      </w:r>
      <w:r w:rsidR="00EF467D">
        <w:rPr>
          <w:rFonts w:ascii="Rockwell" w:hAnsi="Rockwell"/>
          <w:sz w:val="24"/>
          <w:szCs w:val="24"/>
        </w:rPr>
        <w:t>,</w:t>
      </w:r>
      <w:r w:rsidRPr="0061020E">
        <w:rPr>
          <w:rFonts w:ascii="Rockwell" w:hAnsi="Rockwell"/>
          <w:sz w:val="24"/>
          <w:szCs w:val="24"/>
        </w:rPr>
        <w:t xml:space="preserve"> conformément aux </w:t>
      </w:r>
      <w:r w:rsidR="00EF467D">
        <w:rPr>
          <w:rFonts w:ascii="Rockwell" w:hAnsi="Rockwell"/>
          <w:sz w:val="24"/>
          <w:szCs w:val="24"/>
        </w:rPr>
        <w:t>p</w:t>
      </w:r>
      <w:r w:rsidRPr="0061020E">
        <w:rPr>
          <w:rFonts w:ascii="Rockwell" w:hAnsi="Rockwell"/>
          <w:sz w:val="24"/>
          <w:szCs w:val="24"/>
        </w:rPr>
        <w:t xml:space="preserve">rincipes régissant l’établissement et l’application de critères microbiologiques pour les aliments (CAC/GL21-1997). </w:t>
      </w:r>
    </w:p>
    <w:p w:rsidR="006F1383" w:rsidRPr="0061020E" w:rsidRDefault="006F1383" w:rsidP="008F6018">
      <w:pPr>
        <w:spacing w:after="120" w:line="240" w:lineRule="auto"/>
        <w:jc w:val="both"/>
        <w:rPr>
          <w:rFonts w:ascii="Rockwell" w:hAnsi="Rockwell"/>
          <w:sz w:val="24"/>
          <w:szCs w:val="24"/>
        </w:rPr>
      </w:pPr>
    </w:p>
    <w:p w:rsidR="008C7F3C" w:rsidRPr="0061020E" w:rsidRDefault="00AC2079" w:rsidP="008F6018">
      <w:pPr>
        <w:spacing w:after="120" w:line="240" w:lineRule="auto"/>
        <w:jc w:val="both"/>
        <w:rPr>
          <w:rFonts w:ascii="Rockwell" w:hAnsi="Rockwell"/>
          <w:sz w:val="24"/>
          <w:szCs w:val="24"/>
        </w:rPr>
      </w:pPr>
      <w:bookmarkStart w:id="155" w:name="_Toc153207572"/>
      <w:r w:rsidRPr="0061020E">
        <w:rPr>
          <w:rFonts w:ascii="Rockwell" w:hAnsi="Rockwell"/>
          <w:sz w:val="24"/>
          <w:szCs w:val="24"/>
        </w:rPr>
        <w:t>Etiquetage</w:t>
      </w:r>
      <w:bookmarkEnd w:id="155"/>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b/>
          <w:bCs/>
          <w:sz w:val="24"/>
          <w:szCs w:val="24"/>
        </w:rPr>
      </w:pPr>
      <w:r w:rsidRPr="0061020E">
        <w:rPr>
          <w:rFonts w:ascii="Rockwell" w:hAnsi="Rockwell"/>
          <w:b/>
          <w:bCs/>
          <w:sz w:val="24"/>
          <w:szCs w:val="24"/>
        </w:rPr>
        <w:t>Nom de l'aliment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L’huile doit être étiquetée en conformité </w:t>
      </w:r>
      <w:r w:rsidR="00EF467D">
        <w:rPr>
          <w:rFonts w:ascii="Rockwell" w:hAnsi="Rockwell"/>
          <w:sz w:val="24"/>
          <w:szCs w:val="24"/>
        </w:rPr>
        <w:t>avec la n</w:t>
      </w:r>
      <w:r w:rsidRPr="0061020E">
        <w:rPr>
          <w:rFonts w:ascii="Rockwell" w:hAnsi="Rockwell"/>
          <w:sz w:val="24"/>
          <w:szCs w:val="24"/>
        </w:rPr>
        <w:t xml:space="preserve">orme </w:t>
      </w:r>
      <w:r w:rsidR="00EF467D">
        <w:rPr>
          <w:rFonts w:ascii="Rockwell" w:hAnsi="Rockwell"/>
          <w:sz w:val="24"/>
          <w:szCs w:val="24"/>
        </w:rPr>
        <w:t>b</w:t>
      </w:r>
      <w:r w:rsidRPr="0061020E">
        <w:rPr>
          <w:rFonts w:ascii="Rockwell" w:hAnsi="Rockwell"/>
          <w:sz w:val="24"/>
          <w:szCs w:val="24"/>
        </w:rPr>
        <w:t>urkinab</w:t>
      </w:r>
      <w:r w:rsidR="00EF467D">
        <w:rPr>
          <w:rFonts w:ascii="Rockwell" w:hAnsi="Rockwell"/>
          <w:sz w:val="24"/>
          <w:szCs w:val="24"/>
        </w:rPr>
        <w:t>è</w:t>
      </w:r>
      <w:r w:rsidRPr="0061020E">
        <w:rPr>
          <w:rFonts w:ascii="Rockwell" w:hAnsi="Rockwell"/>
          <w:sz w:val="24"/>
          <w:szCs w:val="24"/>
        </w:rPr>
        <w:t xml:space="preserve"> sur l’étiquetage des denrées alimentaires préemballées</w:t>
      </w:r>
      <w:r w:rsidR="00EF467D">
        <w:rPr>
          <w:rFonts w:ascii="Rockwell" w:hAnsi="Rockwell"/>
          <w:sz w:val="24"/>
          <w:szCs w:val="24"/>
        </w:rPr>
        <w:t>,</w:t>
      </w:r>
      <w:r w:rsidRPr="0061020E">
        <w:rPr>
          <w:rFonts w:ascii="Rockwell" w:hAnsi="Rockwell"/>
          <w:sz w:val="24"/>
          <w:szCs w:val="24"/>
        </w:rPr>
        <w:t xml:space="preserve"> équivalente à la norme C</w:t>
      </w:r>
      <w:r w:rsidR="00EF2235" w:rsidRPr="0061020E">
        <w:rPr>
          <w:rFonts w:ascii="Rockwell" w:hAnsi="Rockwell"/>
          <w:sz w:val="24"/>
          <w:szCs w:val="24"/>
        </w:rPr>
        <w:t>odex</w:t>
      </w:r>
      <w:r w:rsidRPr="0061020E">
        <w:rPr>
          <w:rFonts w:ascii="Rockwell" w:hAnsi="Rockwell"/>
          <w:sz w:val="24"/>
          <w:szCs w:val="24"/>
        </w:rPr>
        <w:t xml:space="preserve"> S</w:t>
      </w:r>
      <w:r w:rsidR="00EF2235" w:rsidRPr="0061020E">
        <w:rPr>
          <w:rFonts w:ascii="Rockwell" w:hAnsi="Rockwell"/>
          <w:sz w:val="24"/>
          <w:szCs w:val="24"/>
        </w:rPr>
        <w:t>tan</w:t>
      </w:r>
      <w:r w:rsidRPr="0061020E">
        <w:rPr>
          <w:rFonts w:ascii="Rockwell" w:hAnsi="Rockwell"/>
          <w:sz w:val="24"/>
          <w:szCs w:val="24"/>
        </w:rPr>
        <w:t xml:space="preserve"> 11985, (Rév.1-1991 Amendé.4-2005) Codex Alimentarius, Volume 1A. </w:t>
      </w:r>
    </w:p>
    <w:p w:rsidR="008C7F3C" w:rsidRPr="0061020E" w:rsidRDefault="008C7F3C" w:rsidP="008F6018">
      <w:pPr>
        <w:spacing w:after="120" w:line="240" w:lineRule="auto"/>
        <w:jc w:val="both"/>
        <w:rPr>
          <w:rFonts w:ascii="Rockwell" w:hAnsi="Rockwell"/>
          <w:b/>
          <w:bCs/>
          <w:sz w:val="24"/>
          <w:szCs w:val="24"/>
        </w:rPr>
      </w:pPr>
      <w:r w:rsidRPr="0061020E">
        <w:rPr>
          <w:rFonts w:ascii="Rockwell" w:hAnsi="Rockwell"/>
          <w:sz w:val="24"/>
          <w:szCs w:val="24"/>
        </w:rPr>
        <w:t xml:space="preserve">Le nom de l'huile doit être conforme aux descriptions données plus haut. </w:t>
      </w:r>
    </w:p>
    <w:p w:rsidR="008C7F3C" w:rsidRPr="0061020E" w:rsidRDefault="008C7F3C" w:rsidP="008F6018">
      <w:pPr>
        <w:spacing w:after="120" w:line="240" w:lineRule="auto"/>
        <w:jc w:val="both"/>
        <w:rPr>
          <w:rFonts w:ascii="Rockwell" w:hAnsi="Rockwell"/>
          <w:b/>
          <w:bCs/>
          <w:sz w:val="24"/>
          <w:szCs w:val="24"/>
        </w:rPr>
      </w:pPr>
    </w:p>
    <w:p w:rsidR="008C7F3C" w:rsidRPr="0061020E" w:rsidRDefault="008C7F3C" w:rsidP="008F6018">
      <w:pPr>
        <w:spacing w:after="120" w:line="240" w:lineRule="auto"/>
        <w:jc w:val="both"/>
        <w:rPr>
          <w:rFonts w:ascii="Rockwell" w:hAnsi="Rockwell"/>
          <w:b/>
          <w:bCs/>
          <w:sz w:val="24"/>
          <w:szCs w:val="24"/>
        </w:rPr>
      </w:pPr>
      <w:r w:rsidRPr="0061020E">
        <w:rPr>
          <w:rFonts w:ascii="Rockwell" w:hAnsi="Rockwell"/>
          <w:b/>
          <w:bCs/>
          <w:sz w:val="24"/>
          <w:szCs w:val="24"/>
        </w:rPr>
        <w:t xml:space="preserve">Etiquetage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Les renseignements nécessaires </w:t>
      </w:r>
      <w:r w:rsidR="00EF2235">
        <w:rPr>
          <w:rFonts w:ascii="Rockwell" w:hAnsi="Rockwell"/>
          <w:sz w:val="24"/>
          <w:szCs w:val="24"/>
        </w:rPr>
        <w:t>à</w:t>
      </w:r>
      <w:r w:rsidRPr="0061020E">
        <w:rPr>
          <w:rFonts w:ascii="Rockwell" w:hAnsi="Rockwell"/>
          <w:sz w:val="24"/>
          <w:szCs w:val="24"/>
        </w:rPr>
        <w:t xml:space="preserve"> l'étiquetage des récipients non destinés à la vente au détail</w:t>
      </w:r>
      <w:r w:rsidR="00EF2235">
        <w:rPr>
          <w:rFonts w:ascii="Rockwell" w:hAnsi="Rockwell"/>
          <w:sz w:val="24"/>
          <w:szCs w:val="24"/>
        </w:rPr>
        <w:t>,</w:t>
      </w:r>
      <w:r w:rsidRPr="0061020E">
        <w:rPr>
          <w:rFonts w:ascii="Rockwell" w:hAnsi="Rockwell"/>
          <w:sz w:val="24"/>
          <w:szCs w:val="24"/>
        </w:rPr>
        <w:t xml:space="preserve"> doivent figurer soit sur les récipients, soit dans les documents d'accompagnement; toutefois</w:t>
      </w:r>
      <w:r w:rsidR="00EF2235">
        <w:rPr>
          <w:rFonts w:ascii="Rockwell" w:hAnsi="Rockwell"/>
          <w:sz w:val="24"/>
          <w:szCs w:val="24"/>
        </w:rPr>
        <w:t>,</w:t>
      </w:r>
      <w:r w:rsidRPr="0061020E">
        <w:rPr>
          <w:rFonts w:ascii="Rockwell" w:hAnsi="Rockwell"/>
          <w:sz w:val="24"/>
          <w:szCs w:val="24"/>
        </w:rPr>
        <w:t xml:space="preserve"> le nom du produit, l'identification du lot</w:t>
      </w:r>
      <w:r w:rsidR="00EF2235">
        <w:rPr>
          <w:rFonts w:ascii="Rockwell" w:hAnsi="Rockwell"/>
          <w:sz w:val="24"/>
          <w:szCs w:val="24"/>
        </w:rPr>
        <w:t>,</w:t>
      </w:r>
      <w:r w:rsidRPr="0061020E">
        <w:rPr>
          <w:rFonts w:ascii="Rockwell" w:hAnsi="Rockwell"/>
          <w:sz w:val="24"/>
          <w:szCs w:val="24"/>
        </w:rPr>
        <w:t xml:space="preserve"> ainsi que le nom et l'adresse du fabricant ou de l'emballeur, doivent figurer sur le récipient non destiné à la vente au détail. </w:t>
      </w:r>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t>L'identification du lot, de même que le nom et l'adresse du fabricant ou de l'emballeur, peuvent cependant</w:t>
      </w:r>
      <w:r w:rsidR="00EF2235">
        <w:rPr>
          <w:rFonts w:ascii="Rockwell" w:hAnsi="Rockwell"/>
          <w:sz w:val="24"/>
          <w:szCs w:val="24"/>
        </w:rPr>
        <w:t>,</w:t>
      </w:r>
      <w:r w:rsidRPr="0061020E">
        <w:rPr>
          <w:rFonts w:ascii="Rockwell" w:hAnsi="Rockwell"/>
          <w:sz w:val="24"/>
          <w:szCs w:val="24"/>
        </w:rPr>
        <w:t xml:space="preserve"> être remplacés par une marque d'identification, à condition que celle-ci soit clairement identifiée</w:t>
      </w:r>
      <w:r w:rsidR="00EF2235">
        <w:rPr>
          <w:rFonts w:ascii="Rockwell" w:hAnsi="Rockwell"/>
          <w:sz w:val="24"/>
          <w:szCs w:val="24"/>
        </w:rPr>
        <w:t>,</w:t>
      </w:r>
      <w:r w:rsidRPr="0061020E">
        <w:rPr>
          <w:rFonts w:ascii="Rockwell" w:hAnsi="Rockwell"/>
          <w:sz w:val="24"/>
          <w:szCs w:val="24"/>
        </w:rPr>
        <w:t xml:space="preserve"> à l'aide des documents d'accompagnement. </w:t>
      </w:r>
    </w:p>
    <w:p w:rsidR="006F1383" w:rsidRPr="0061020E" w:rsidRDefault="006F1383" w:rsidP="008F6018">
      <w:pPr>
        <w:spacing w:after="120" w:line="240" w:lineRule="auto"/>
        <w:jc w:val="both"/>
        <w:rPr>
          <w:rFonts w:ascii="Rockwell" w:hAnsi="Rockwell"/>
          <w:sz w:val="24"/>
          <w:szCs w:val="24"/>
        </w:rPr>
      </w:pPr>
    </w:p>
    <w:p w:rsidR="008C7F3C" w:rsidRPr="0025018C" w:rsidRDefault="008C7F3C" w:rsidP="008F6018">
      <w:pPr>
        <w:pStyle w:val="Titre3"/>
        <w:numPr>
          <w:ilvl w:val="0"/>
          <w:numId w:val="98"/>
        </w:numPr>
        <w:spacing w:before="0" w:after="120" w:line="240" w:lineRule="auto"/>
        <w:jc w:val="both"/>
        <w:rPr>
          <w:rFonts w:ascii="Rockwell" w:hAnsi="Rockwell"/>
          <w:color w:val="auto"/>
          <w:sz w:val="24"/>
          <w:szCs w:val="24"/>
        </w:rPr>
      </w:pPr>
      <w:bookmarkStart w:id="156" w:name="_Toc462905187"/>
      <w:bookmarkStart w:id="157" w:name="_Toc462905402"/>
      <w:bookmarkStart w:id="158" w:name="_Toc462906250"/>
      <w:bookmarkStart w:id="159" w:name="_Toc462906391"/>
      <w:bookmarkStart w:id="160" w:name="_Toc462905188"/>
      <w:bookmarkStart w:id="161" w:name="_Toc462905403"/>
      <w:bookmarkStart w:id="162" w:name="_Toc462906251"/>
      <w:bookmarkStart w:id="163" w:name="_Toc462906392"/>
      <w:bookmarkStart w:id="164" w:name="_Toc462905189"/>
      <w:bookmarkStart w:id="165" w:name="_Toc462905404"/>
      <w:bookmarkStart w:id="166" w:name="_Toc462906252"/>
      <w:bookmarkStart w:id="167" w:name="_Toc462906393"/>
      <w:bookmarkStart w:id="168" w:name="_Toc462905190"/>
      <w:bookmarkStart w:id="169" w:name="_Toc462905405"/>
      <w:bookmarkStart w:id="170" w:name="_Toc462906253"/>
      <w:bookmarkStart w:id="171" w:name="_Toc462906394"/>
      <w:bookmarkStart w:id="172" w:name="_Toc462414154"/>
      <w:bookmarkStart w:id="173" w:name="_Toc462414405"/>
      <w:bookmarkStart w:id="174" w:name="_Toc462414155"/>
      <w:bookmarkStart w:id="175" w:name="_Toc462414406"/>
      <w:bookmarkStart w:id="176" w:name="_Toc462414156"/>
      <w:bookmarkStart w:id="177" w:name="_Toc462414407"/>
      <w:bookmarkStart w:id="178" w:name="_Toc462414157"/>
      <w:bookmarkStart w:id="179" w:name="_Toc462414408"/>
      <w:bookmarkStart w:id="180" w:name="_Toc462414158"/>
      <w:bookmarkStart w:id="181" w:name="_Toc462414409"/>
      <w:bookmarkStart w:id="182" w:name="_Toc462414159"/>
      <w:bookmarkStart w:id="183" w:name="_Toc462414410"/>
      <w:bookmarkStart w:id="184" w:name="_Toc462414160"/>
      <w:bookmarkStart w:id="185" w:name="_Toc462414411"/>
      <w:bookmarkStart w:id="186" w:name="_Toc462414161"/>
      <w:bookmarkStart w:id="187" w:name="_Toc462414412"/>
      <w:bookmarkStart w:id="188" w:name="_Toc462414162"/>
      <w:bookmarkStart w:id="189" w:name="_Toc462414413"/>
      <w:bookmarkStart w:id="190" w:name="_Toc462414163"/>
      <w:bookmarkStart w:id="191" w:name="_Toc462414414"/>
      <w:bookmarkStart w:id="192" w:name="_Toc462414164"/>
      <w:bookmarkStart w:id="193" w:name="_Toc462414415"/>
      <w:bookmarkStart w:id="194" w:name="_Toc462414165"/>
      <w:bookmarkStart w:id="195" w:name="_Toc462414416"/>
      <w:bookmarkStart w:id="196" w:name="_Toc462414166"/>
      <w:bookmarkStart w:id="197" w:name="_Toc462414417"/>
      <w:bookmarkStart w:id="198" w:name="_Toc462414167"/>
      <w:bookmarkStart w:id="199" w:name="_Toc462414418"/>
      <w:bookmarkStart w:id="200" w:name="_Toc462414168"/>
      <w:bookmarkStart w:id="201" w:name="_Toc462414419"/>
      <w:bookmarkStart w:id="202" w:name="_Toc462414169"/>
      <w:bookmarkStart w:id="203" w:name="_Toc462414420"/>
      <w:bookmarkStart w:id="204" w:name="_Toc462414170"/>
      <w:bookmarkStart w:id="205" w:name="_Toc462414421"/>
      <w:bookmarkStart w:id="206" w:name="_Toc462414171"/>
      <w:bookmarkStart w:id="207" w:name="_Toc462414422"/>
      <w:bookmarkStart w:id="208" w:name="_Toc462414172"/>
      <w:bookmarkStart w:id="209" w:name="_Toc462414423"/>
      <w:bookmarkStart w:id="210" w:name="_Toc462414173"/>
      <w:bookmarkStart w:id="211" w:name="_Toc462414424"/>
      <w:bookmarkStart w:id="212" w:name="_Toc462414174"/>
      <w:bookmarkStart w:id="213" w:name="_Toc462414425"/>
      <w:bookmarkStart w:id="214" w:name="_Toc462414175"/>
      <w:bookmarkStart w:id="215" w:name="_Toc462414426"/>
      <w:bookmarkStart w:id="216" w:name="_Toc462414176"/>
      <w:bookmarkStart w:id="217" w:name="_Toc462414427"/>
      <w:bookmarkStart w:id="218" w:name="_Toc462414177"/>
      <w:bookmarkStart w:id="219" w:name="_Toc462414428"/>
      <w:bookmarkStart w:id="220" w:name="_Toc462414178"/>
      <w:bookmarkStart w:id="221" w:name="_Toc462414429"/>
      <w:bookmarkStart w:id="222" w:name="_Toc462414179"/>
      <w:bookmarkStart w:id="223" w:name="_Toc462414430"/>
      <w:bookmarkStart w:id="224" w:name="_Toc462414180"/>
      <w:bookmarkStart w:id="225" w:name="_Toc462414431"/>
      <w:bookmarkStart w:id="226" w:name="_Toc462414181"/>
      <w:bookmarkStart w:id="227" w:name="_Toc462414432"/>
      <w:bookmarkStart w:id="228" w:name="_Toc462414182"/>
      <w:bookmarkStart w:id="229" w:name="_Toc462414433"/>
      <w:bookmarkStart w:id="230" w:name="_Toc462414183"/>
      <w:bookmarkStart w:id="231" w:name="_Toc462414434"/>
      <w:bookmarkStart w:id="232" w:name="_Toc462414184"/>
      <w:bookmarkStart w:id="233" w:name="_Toc462414435"/>
      <w:bookmarkStart w:id="234" w:name="_Toc505063309"/>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25018C">
        <w:rPr>
          <w:rFonts w:ascii="Rockwell" w:hAnsi="Rockwell"/>
          <w:color w:val="auto"/>
          <w:sz w:val="24"/>
          <w:szCs w:val="24"/>
        </w:rPr>
        <w:t>Le riz</w:t>
      </w:r>
      <w:bookmarkEnd w:id="234"/>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exigences normatives (confère NBF 01 – 080 : 2009) dans le cadre des achats publics sont les suivantes :</w:t>
      </w:r>
    </w:p>
    <w:p w:rsidR="006F1383" w:rsidRPr="0061020E" w:rsidRDefault="006F1383"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sz w:val="24"/>
          <w:szCs w:val="24"/>
        </w:rPr>
      </w:pPr>
      <w:bookmarkStart w:id="235" w:name="_Toc149030017"/>
      <w:r w:rsidRPr="0061020E">
        <w:rPr>
          <w:rFonts w:ascii="Rockwell" w:hAnsi="Rockwell"/>
          <w:sz w:val="24"/>
          <w:szCs w:val="24"/>
        </w:rPr>
        <w:t>Caractéristiques générales et propriétés organoleptiques</w:t>
      </w:r>
      <w:bookmarkEnd w:id="235"/>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w:t>
      </w:r>
      <w:r w:rsidRPr="0061020E">
        <w:rPr>
          <w:rFonts w:ascii="Rockwell" w:hAnsi="Rockwell"/>
          <w:sz w:val="24"/>
          <w:szCs w:val="24"/>
        </w:rPr>
        <w:t xml:space="preserve">s grains de riz, décortiqué ou usiné, entier ou brisé, </w:t>
      </w:r>
      <w:r w:rsidRPr="0061020E">
        <w:rPr>
          <w:rFonts w:ascii="Rockwell" w:hAnsi="Rockwell"/>
          <w:color w:val="000000"/>
          <w:sz w:val="24"/>
          <w:szCs w:val="24"/>
        </w:rPr>
        <w:t xml:space="preserve">étuvé ou </w:t>
      </w:r>
      <w:r w:rsidR="00861D4B" w:rsidRPr="0061020E">
        <w:rPr>
          <w:rFonts w:ascii="Rockwell" w:hAnsi="Rockwell"/>
          <w:color w:val="000000"/>
          <w:sz w:val="24"/>
          <w:szCs w:val="24"/>
        </w:rPr>
        <w:t>non,</w:t>
      </w:r>
      <w:r w:rsidRPr="0061020E">
        <w:rPr>
          <w:rFonts w:ascii="Rockwell" w:hAnsi="Rockwell"/>
          <w:color w:val="000000"/>
          <w:sz w:val="24"/>
          <w:szCs w:val="24"/>
        </w:rPr>
        <w:t xml:space="preserve"> visés par l’achat public</w:t>
      </w:r>
      <w:r w:rsidR="00BB3F24">
        <w:rPr>
          <w:rFonts w:ascii="Rockwell" w:hAnsi="Rockwell"/>
          <w:color w:val="000000"/>
          <w:sz w:val="24"/>
          <w:szCs w:val="24"/>
        </w:rPr>
        <w:t>,</w:t>
      </w:r>
      <w:r w:rsidRPr="0061020E">
        <w:rPr>
          <w:rFonts w:ascii="Rockwell" w:hAnsi="Rockwell"/>
          <w:color w:val="000000"/>
          <w:sz w:val="24"/>
          <w:szCs w:val="24"/>
        </w:rPr>
        <w:t xml:space="preserve"> doivent être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sains et propres pour la consommation humaine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secs, non germés et de qualité marchande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exempts d'odeurs et de goûts anormaux ;</w:t>
      </w:r>
    </w:p>
    <w:p w:rsidR="008C7F3C"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exempts de souillures en quantités susceptibles de présenter un risque pour la santé humaine.</w:t>
      </w:r>
    </w:p>
    <w:p w:rsidR="006F1383" w:rsidRPr="00083011" w:rsidRDefault="006F1383" w:rsidP="006F1383">
      <w:pPr>
        <w:pStyle w:val="Paragraphedeliste"/>
        <w:spacing w:after="120" w:line="240" w:lineRule="auto"/>
        <w:ind w:left="228"/>
        <w:jc w:val="both"/>
        <w:rPr>
          <w:rFonts w:ascii="Rockwell" w:hAnsi="Rockwell"/>
          <w:color w:val="000000"/>
          <w:sz w:val="24"/>
          <w:szCs w:val="24"/>
        </w:rPr>
      </w:pPr>
    </w:p>
    <w:p w:rsidR="008C7F3C" w:rsidRPr="0061020E" w:rsidRDefault="008C7F3C" w:rsidP="008F6018">
      <w:pPr>
        <w:spacing w:after="120" w:line="240" w:lineRule="auto"/>
        <w:jc w:val="both"/>
        <w:rPr>
          <w:rFonts w:ascii="Rockwell" w:hAnsi="Rockwell"/>
          <w:sz w:val="24"/>
          <w:szCs w:val="24"/>
        </w:rPr>
      </w:pPr>
      <w:bookmarkStart w:id="236" w:name="_Toc149030018"/>
      <w:r w:rsidRPr="0061020E">
        <w:rPr>
          <w:rFonts w:ascii="Rockwell" w:hAnsi="Rockwell"/>
          <w:sz w:val="24"/>
          <w:szCs w:val="24"/>
        </w:rPr>
        <w:t>Caractéristiques sanitaires</w:t>
      </w:r>
      <w:bookmarkEnd w:id="236"/>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sz w:val="24"/>
          <w:szCs w:val="24"/>
        </w:rPr>
        <w:t xml:space="preserve">Les additifs, les résidus de pesticides, les métaux lourds et autres contaminants ne doivent pas excéder les limites maximales admises par la réglementation nationale du pays de destination ou, à défaut, par la Commission mixte FAO/OMS du </w:t>
      </w:r>
      <w:r w:rsidRPr="0061020E">
        <w:rPr>
          <w:rFonts w:ascii="Rockwell" w:hAnsi="Rockwell"/>
          <w:i/>
          <w:iCs/>
          <w:sz w:val="24"/>
          <w:szCs w:val="24"/>
        </w:rPr>
        <w:t>Codex Alimentarius.</w:t>
      </w:r>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 xml:space="preserve">La présence d'insectes </w:t>
      </w:r>
      <w:r w:rsidRPr="0061020E">
        <w:rPr>
          <w:rFonts w:ascii="Rockwell" w:hAnsi="Rockwell"/>
          <w:color w:val="000000"/>
          <w:sz w:val="24"/>
          <w:szCs w:val="24"/>
        </w:rPr>
        <w:t>et d’acariens</w:t>
      </w:r>
      <w:r w:rsidRPr="0061020E">
        <w:rPr>
          <w:rFonts w:ascii="Rockwell" w:hAnsi="Rockwell"/>
          <w:sz w:val="24"/>
          <w:szCs w:val="24"/>
        </w:rPr>
        <w:t xml:space="preserve"> </w:t>
      </w:r>
      <w:r w:rsidRPr="0061020E">
        <w:rPr>
          <w:rFonts w:ascii="Rockwell" w:hAnsi="Rockwell"/>
          <w:color w:val="000000"/>
          <w:sz w:val="24"/>
          <w:szCs w:val="24"/>
        </w:rPr>
        <w:t>vivants</w:t>
      </w:r>
      <w:r w:rsidR="00BB3F24">
        <w:rPr>
          <w:rFonts w:ascii="Rockwell" w:hAnsi="Rockwell"/>
          <w:color w:val="000000"/>
          <w:sz w:val="24"/>
          <w:szCs w:val="24"/>
        </w:rPr>
        <w:t>,</w:t>
      </w:r>
      <w:r w:rsidRPr="0061020E">
        <w:rPr>
          <w:rFonts w:ascii="Rockwell" w:hAnsi="Rockwell"/>
          <w:sz w:val="24"/>
          <w:szCs w:val="24"/>
        </w:rPr>
        <w:t xml:space="preserve"> visibles à l'</w:t>
      </w:r>
      <w:r w:rsidR="00E11E9E" w:rsidRPr="0061020E">
        <w:rPr>
          <w:rFonts w:ascii="Rockwell" w:hAnsi="Rockwell"/>
          <w:sz w:val="24"/>
          <w:szCs w:val="24"/>
        </w:rPr>
        <w:t>œil</w:t>
      </w:r>
      <w:r w:rsidRPr="0061020E">
        <w:rPr>
          <w:rFonts w:ascii="Rockwell" w:hAnsi="Rockwell"/>
          <w:sz w:val="24"/>
          <w:szCs w:val="24"/>
        </w:rPr>
        <w:t xml:space="preserve"> nu</w:t>
      </w:r>
      <w:r w:rsidR="00BB3F24">
        <w:rPr>
          <w:rFonts w:ascii="Rockwell" w:hAnsi="Rockwell"/>
          <w:sz w:val="24"/>
          <w:szCs w:val="24"/>
        </w:rPr>
        <w:t>,</w:t>
      </w:r>
      <w:r w:rsidRPr="0061020E">
        <w:rPr>
          <w:rFonts w:ascii="Rockwell" w:hAnsi="Rockwell"/>
          <w:sz w:val="24"/>
          <w:szCs w:val="24"/>
        </w:rPr>
        <w:t xml:space="preserve"> n'est pas tolérée.</w:t>
      </w:r>
    </w:p>
    <w:p w:rsidR="006F1383" w:rsidRPr="0061020E" w:rsidRDefault="006F1383"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bookmarkStart w:id="237" w:name="_Toc149030019"/>
      <w:r w:rsidRPr="0061020E">
        <w:rPr>
          <w:rFonts w:ascii="Rockwell" w:hAnsi="Rockwell"/>
          <w:sz w:val="24"/>
          <w:szCs w:val="24"/>
        </w:rPr>
        <w:t>Caractéristiques physiques et chimiques</w:t>
      </w:r>
      <w:bookmarkEnd w:id="237"/>
    </w:p>
    <w:p w:rsidR="008C7F3C" w:rsidRPr="0061020E" w:rsidRDefault="008C7F3C" w:rsidP="008F6018">
      <w:pPr>
        <w:spacing w:after="120" w:line="240" w:lineRule="auto"/>
        <w:jc w:val="both"/>
        <w:rPr>
          <w:rFonts w:ascii="Rockwell" w:hAnsi="Rockwell"/>
          <w:b/>
          <w:i/>
          <w:iCs/>
          <w:sz w:val="24"/>
          <w:szCs w:val="24"/>
        </w:rPr>
      </w:pPr>
      <w:bookmarkStart w:id="238" w:name="_Toc116963428"/>
      <w:bookmarkStart w:id="239" w:name="_Toc149030020"/>
      <w:r w:rsidRPr="0061020E">
        <w:rPr>
          <w:rFonts w:ascii="Rockwell" w:hAnsi="Rockwell"/>
          <w:b/>
          <w:bCs/>
          <w:i/>
          <w:iCs/>
          <w:sz w:val="24"/>
          <w:szCs w:val="24"/>
        </w:rPr>
        <w:t>Teneur en eau du grain</w:t>
      </w:r>
      <w:bookmarkEnd w:id="238"/>
      <w:bookmarkEnd w:id="239"/>
      <w:r w:rsidRPr="0061020E">
        <w:rPr>
          <w:rFonts w:ascii="Rockwell" w:hAnsi="Rockwell"/>
          <w:b/>
          <w:bCs/>
          <w:i/>
          <w:iCs/>
          <w:sz w:val="24"/>
          <w:szCs w:val="24"/>
        </w:rPr>
        <w:t xml:space="preserve"> </w:t>
      </w:r>
    </w:p>
    <w:p w:rsidR="008C7F3C"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La teneur en eau du riz déterminée selon la norme </w:t>
      </w:r>
      <w:r w:rsidRPr="0061020E">
        <w:rPr>
          <w:rFonts w:ascii="Rockwell" w:hAnsi="Rockwell"/>
          <w:b/>
          <w:color w:val="000000"/>
          <w:sz w:val="24"/>
          <w:szCs w:val="24"/>
        </w:rPr>
        <w:t>ISO 711 et ISO 712</w:t>
      </w:r>
      <w:r w:rsidRPr="0061020E">
        <w:rPr>
          <w:rFonts w:ascii="Rockwell" w:hAnsi="Rockwell"/>
          <w:b/>
          <w:color w:val="FF0000"/>
          <w:sz w:val="24"/>
          <w:szCs w:val="24"/>
        </w:rPr>
        <w:t xml:space="preserve">  </w:t>
      </w:r>
      <w:r w:rsidRPr="0061020E">
        <w:rPr>
          <w:rFonts w:ascii="Rockwell" w:hAnsi="Rockwell"/>
          <w:color w:val="000000"/>
          <w:sz w:val="24"/>
          <w:szCs w:val="24"/>
        </w:rPr>
        <w:t xml:space="preserve">ne doit pas être supérieure à </w:t>
      </w:r>
      <w:r w:rsidRPr="0061020E">
        <w:rPr>
          <w:rFonts w:ascii="Rockwell" w:hAnsi="Rockwell"/>
          <w:b/>
          <w:color w:val="000000"/>
          <w:sz w:val="24"/>
          <w:szCs w:val="24"/>
        </w:rPr>
        <w:t>13 %</w:t>
      </w:r>
      <w:r w:rsidRPr="0061020E">
        <w:rPr>
          <w:rFonts w:ascii="Rockwell" w:hAnsi="Rockwell"/>
          <w:i/>
          <w:color w:val="000000"/>
          <w:sz w:val="24"/>
          <w:szCs w:val="24"/>
        </w:rPr>
        <w:t xml:space="preserve"> (m/m</w:t>
      </w:r>
      <w:r w:rsidRPr="0061020E">
        <w:rPr>
          <w:rFonts w:ascii="Rockwell" w:hAnsi="Rockwell"/>
          <w:color w:val="000000"/>
          <w:sz w:val="24"/>
          <w:szCs w:val="24"/>
        </w:rPr>
        <w:t>).</w:t>
      </w:r>
    </w:p>
    <w:p w:rsidR="008C7F3C" w:rsidRPr="0061020E" w:rsidRDefault="008C7F3C" w:rsidP="008F6018">
      <w:pPr>
        <w:spacing w:after="120" w:line="240" w:lineRule="auto"/>
        <w:jc w:val="both"/>
        <w:rPr>
          <w:rFonts w:ascii="Rockwell" w:hAnsi="Rockwell"/>
          <w:b/>
          <w:i/>
          <w:iCs/>
          <w:sz w:val="24"/>
          <w:szCs w:val="24"/>
        </w:rPr>
      </w:pPr>
      <w:bookmarkStart w:id="240" w:name="_Toc116963429"/>
      <w:bookmarkStart w:id="241" w:name="_Toc149030021"/>
      <w:r w:rsidRPr="0061020E">
        <w:rPr>
          <w:rFonts w:ascii="Rockwell" w:hAnsi="Rockwell"/>
          <w:b/>
          <w:bCs/>
          <w:i/>
          <w:iCs/>
          <w:sz w:val="24"/>
          <w:szCs w:val="24"/>
        </w:rPr>
        <w:t>Masse volumique</w:t>
      </w:r>
      <w:bookmarkEnd w:id="240"/>
      <w:bookmarkEnd w:id="241"/>
    </w:p>
    <w:p w:rsidR="008C7F3C" w:rsidRPr="0061020E" w:rsidRDefault="00BB3F24" w:rsidP="008F6018">
      <w:pPr>
        <w:spacing w:after="120" w:line="240" w:lineRule="auto"/>
        <w:jc w:val="both"/>
        <w:rPr>
          <w:rFonts w:ascii="Rockwell" w:hAnsi="Rockwell"/>
          <w:sz w:val="24"/>
          <w:szCs w:val="24"/>
        </w:rPr>
      </w:pPr>
      <w:r>
        <w:rPr>
          <w:rFonts w:ascii="Rockwell" w:hAnsi="Rockwell"/>
          <w:sz w:val="24"/>
          <w:szCs w:val="24"/>
        </w:rPr>
        <w:t xml:space="preserve">La masse volumique dite </w:t>
      </w:r>
      <w:r w:rsidR="008C7F3C" w:rsidRPr="0061020E">
        <w:rPr>
          <w:rFonts w:ascii="Rockwell" w:hAnsi="Rockwell"/>
          <w:sz w:val="24"/>
          <w:szCs w:val="24"/>
        </w:rPr>
        <w:t>«</w:t>
      </w:r>
      <w:r>
        <w:rPr>
          <w:rFonts w:ascii="Rockwell" w:hAnsi="Rockwell"/>
          <w:sz w:val="24"/>
          <w:szCs w:val="24"/>
        </w:rPr>
        <w:t xml:space="preserve"> </w:t>
      </w:r>
      <w:r w:rsidR="008C7F3C" w:rsidRPr="0061020E">
        <w:rPr>
          <w:rFonts w:ascii="Rockwell" w:hAnsi="Rockwell"/>
          <w:sz w:val="24"/>
          <w:szCs w:val="24"/>
        </w:rPr>
        <w:t>masse à l'hectolitre</w:t>
      </w:r>
      <w:r>
        <w:rPr>
          <w:rFonts w:ascii="Rockwell" w:hAnsi="Rockwell"/>
          <w:sz w:val="24"/>
          <w:szCs w:val="24"/>
        </w:rPr>
        <w:t xml:space="preserve"> </w:t>
      </w:r>
      <w:r w:rsidR="008C7F3C" w:rsidRPr="0061020E">
        <w:rPr>
          <w:rFonts w:ascii="Rockwell" w:hAnsi="Rockwell"/>
          <w:sz w:val="24"/>
          <w:szCs w:val="24"/>
        </w:rPr>
        <w:t>» du riz</w:t>
      </w:r>
      <w:r>
        <w:rPr>
          <w:rFonts w:ascii="Rockwell" w:hAnsi="Rockwell"/>
          <w:sz w:val="24"/>
          <w:szCs w:val="24"/>
        </w:rPr>
        <w:t>,</w:t>
      </w:r>
      <w:r w:rsidR="008C7F3C" w:rsidRPr="0061020E">
        <w:rPr>
          <w:rFonts w:ascii="Rockwell" w:hAnsi="Rockwell"/>
          <w:sz w:val="24"/>
          <w:szCs w:val="24"/>
        </w:rPr>
        <w:t xml:space="preserve"> doit  être déterminée au </w:t>
      </w:r>
      <w:r>
        <w:rPr>
          <w:rFonts w:ascii="Rockwell" w:hAnsi="Rockwell"/>
          <w:sz w:val="24"/>
          <w:szCs w:val="24"/>
        </w:rPr>
        <w:t>moyen d'instruments de mesure,</w:t>
      </w:r>
      <w:r w:rsidR="008C7F3C" w:rsidRPr="0061020E">
        <w:rPr>
          <w:rFonts w:ascii="Rockwell" w:hAnsi="Rockwell"/>
          <w:sz w:val="24"/>
          <w:szCs w:val="24"/>
        </w:rPr>
        <w:t xml:space="preserve"> ét</w:t>
      </w:r>
      <w:r>
        <w:rPr>
          <w:rFonts w:ascii="Rockwell" w:hAnsi="Rockwell"/>
          <w:sz w:val="24"/>
          <w:szCs w:val="24"/>
        </w:rPr>
        <w:t xml:space="preserve">alonnés selon la méthode de référence </w:t>
      </w:r>
      <w:r w:rsidR="008C7F3C" w:rsidRPr="0061020E">
        <w:rPr>
          <w:rFonts w:ascii="Rockwell" w:hAnsi="Rockwell"/>
          <w:sz w:val="24"/>
          <w:szCs w:val="24"/>
        </w:rPr>
        <w:t>d</w:t>
      </w:r>
      <w:r>
        <w:rPr>
          <w:rFonts w:ascii="Rockwell" w:hAnsi="Rockwell"/>
          <w:sz w:val="24"/>
          <w:szCs w:val="24"/>
        </w:rPr>
        <w:t>onnée  dans la norme</w:t>
      </w:r>
      <w:r w:rsidR="008C7F3C" w:rsidRPr="0061020E">
        <w:rPr>
          <w:rFonts w:ascii="Rockwell" w:hAnsi="Rockwell"/>
          <w:sz w:val="24"/>
          <w:szCs w:val="24"/>
        </w:rPr>
        <w:t xml:space="preserve"> </w:t>
      </w:r>
      <w:r w:rsidR="008C7F3C" w:rsidRPr="0061020E">
        <w:rPr>
          <w:rFonts w:ascii="Rockwell" w:hAnsi="Rockwell"/>
          <w:b/>
          <w:color w:val="000000"/>
          <w:sz w:val="24"/>
          <w:szCs w:val="24"/>
        </w:rPr>
        <w:t>ISO 7971-1</w:t>
      </w:r>
      <w:r w:rsidR="008C7F3C" w:rsidRPr="0061020E">
        <w:rPr>
          <w:rFonts w:ascii="Rockwell" w:hAnsi="Rockwell"/>
          <w:b/>
          <w:color w:val="FF0000"/>
          <w:sz w:val="24"/>
          <w:szCs w:val="24"/>
        </w:rPr>
        <w:t xml:space="preserve"> </w:t>
      </w:r>
      <w:r>
        <w:rPr>
          <w:rFonts w:ascii="Rockwell" w:hAnsi="Rockwell"/>
          <w:sz w:val="24"/>
          <w:szCs w:val="24"/>
        </w:rPr>
        <w:t>ou, à défaut, la méthode</w:t>
      </w:r>
      <w:r w:rsidR="008C7F3C" w:rsidRPr="0061020E">
        <w:rPr>
          <w:rFonts w:ascii="Rockwell" w:hAnsi="Rockwell"/>
          <w:sz w:val="24"/>
          <w:szCs w:val="24"/>
        </w:rPr>
        <w:t xml:space="preserve"> pratique donnée dans la norme </w:t>
      </w:r>
      <w:r w:rsidR="008C7F3C" w:rsidRPr="0061020E">
        <w:rPr>
          <w:rFonts w:ascii="Rockwell" w:hAnsi="Rockwell"/>
          <w:b/>
          <w:color w:val="000000"/>
          <w:sz w:val="24"/>
          <w:szCs w:val="24"/>
        </w:rPr>
        <w:t>ISO 7971-2</w:t>
      </w:r>
      <w:r w:rsidR="008C7F3C" w:rsidRPr="0061020E">
        <w:rPr>
          <w:rFonts w:ascii="Rockwell" w:hAnsi="Rockwell"/>
          <w:sz w:val="24"/>
          <w:szCs w:val="24"/>
        </w:rPr>
        <w:t>; elle ne</w:t>
      </w:r>
      <w:r>
        <w:rPr>
          <w:rFonts w:ascii="Rockwell" w:hAnsi="Rockwell"/>
          <w:sz w:val="24"/>
          <w:szCs w:val="24"/>
        </w:rPr>
        <w:t xml:space="preserve"> doit pas être comprise entre à</w:t>
      </w:r>
      <w:r w:rsidR="008C7F3C" w:rsidRPr="0061020E">
        <w:rPr>
          <w:rFonts w:ascii="Rockwell" w:hAnsi="Rockwell"/>
          <w:sz w:val="24"/>
          <w:szCs w:val="24"/>
        </w:rPr>
        <w:t xml:space="preserve"> </w:t>
      </w:r>
      <w:r w:rsidR="008C7F3C" w:rsidRPr="0061020E">
        <w:rPr>
          <w:rFonts w:ascii="Rockwell" w:hAnsi="Rockwell"/>
          <w:color w:val="000000"/>
          <w:sz w:val="24"/>
          <w:szCs w:val="24"/>
        </w:rPr>
        <w:t>750 et 810</w:t>
      </w:r>
      <w:r w:rsidR="008C7F3C" w:rsidRPr="0061020E">
        <w:rPr>
          <w:rFonts w:ascii="Rockwell" w:hAnsi="Rockwell"/>
          <w:sz w:val="24"/>
          <w:szCs w:val="24"/>
        </w:rPr>
        <w:t xml:space="preserve"> g/l.</w:t>
      </w:r>
    </w:p>
    <w:p w:rsidR="008C7F3C" w:rsidRPr="0025018C" w:rsidRDefault="008C7F3C" w:rsidP="008F6018">
      <w:pPr>
        <w:spacing w:after="120" w:line="240" w:lineRule="auto"/>
        <w:jc w:val="both"/>
        <w:rPr>
          <w:rFonts w:ascii="Rockwell" w:hAnsi="Rockwell"/>
          <w:sz w:val="24"/>
          <w:szCs w:val="24"/>
        </w:rPr>
      </w:pPr>
      <w:bookmarkStart w:id="242" w:name="_Toc116963430"/>
      <w:bookmarkStart w:id="243" w:name="_Toc149030022"/>
      <w:r w:rsidRPr="0025018C">
        <w:rPr>
          <w:rFonts w:ascii="Rockwell" w:hAnsi="Rockwell"/>
          <w:sz w:val="24"/>
          <w:szCs w:val="24"/>
        </w:rPr>
        <w:t>Impuretés</w:t>
      </w:r>
      <w:bookmarkEnd w:id="242"/>
      <w:bookmarkEnd w:id="243"/>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t>La teneur maximale pour chaque impureté ne doit pas être supérieure à la valeur donnée dans le tableau</w:t>
      </w:r>
      <w:r w:rsidR="00BB3F24">
        <w:rPr>
          <w:rFonts w:ascii="Rockwell" w:hAnsi="Rockwell"/>
          <w:sz w:val="24"/>
          <w:szCs w:val="24"/>
        </w:rPr>
        <w:t>,</w:t>
      </w:r>
      <w:r w:rsidRPr="0061020E">
        <w:rPr>
          <w:rFonts w:ascii="Rockwell" w:hAnsi="Rockwell"/>
          <w:sz w:val="24"/>
          <w:szCs w:val="24"/>
        </w:rPr>
        <w:t xml:space="preserve"> ci-dessous.</w:t>
      </w:r>
    </w:p>
    <w:p w:rsidR="006F1383" w:rsidRDefault="006F1383">
      <w:pPr>
        <w:rPr>
          <w:rFonts w:ascii="Rockwell" w:hAnsi="Rockwell"/>
          <w:sz w:val="24"/>
          <w:szCs w:val="24"/>
        </w:rPr>
      </w:pPr>
      <w:r>
        <w:rPr>
          <w:rFonts w:ascii="Rockwell" w:hAnsi="Rockwell"/>
          <w:sz w:val="24"/>
          <w:szCs w:val="24"/>
        </w:rPr>
        <w:br w:type="page"/>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lastRenderedPageBreak/>
        <w:t>Tableau : Spécifications du riz</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842"/>
        <w:gridCol w:w="1578"/>
        <w:gridCol w:w="1843"/>
        <w:gridCol w:w="1577"/>
      </w:tblGrid>
      <w:tr w:rsidR="008C7F3C" w:rsidRPr="006847BA" w:rsidTr="0025018C">
        <w:trPr>
          <w:tblHeader/>
        </w:trPr>
        <w:tc>
          <w:tcPr>
            <w:tcW w:w="2808" w:type="dxa"/>
          </w:tcPr>
          <w:p w:rsidR="008C7F3C" w:rsidRPr="0061020E" w:rsidRDefault="00D04CC3" w:rsidP="008F6018">
            <w:pPr>
              <w:spacing w:after="120" w:line="240" w:lineRule="auto"/>
              <w:jc w:val="both"/>
              <w:rPr>
                <w:rFonts w:ascii="Rockwell" w:hAnsi="Rockwell"/>
                <w:b/>
                <w:sz w:val="24"/>
                <w:szCs w:val="24"/>
              </w:rPr>
            </w:pPr>
            <w:r>
              <w:rPr>
                <w:rFonts w:ascii="Rockwell" w:hAnsi="Rockwell"/>
                <w:sz w:val="24"/>
                <w:szCs w:val="24"/>
              </w:rPr>
              <w:tab/>
            </w:r>
          </w:p>
          <w:p w:rsidR="008C7F3C" w:rsidRPr="0061020E" w:rsidRDefault="008C7F3C" w:rsidP="008F6018">
            <w:pPr>
              <w:spacing w:after="120" w:line="240" w:lineRule="auto"/>
              <w:jc w:val="both"/>
              <w:rPr>
                <w:rFonts w:ascii="Rockwell" w:hAnsi="Rockwell"/>
                <w:b/>
                <w:sz w:val="24"/>
                <w:szCs w:val="24"/>
              </w:rPr>
            </w:pP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Catégories</w:t>
            </w:r>
          </w:p>
        </w:tc>
        <w:tc>
          <w:tcPr>
            <w:tcW w:w="1842" w:type="dxa"/>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Riz décortiqué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non étuvé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max.</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(fraction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massique)</w:t>
            </w:r>
          </w:p>
        </w:tc>
        <w:tc>
          <w:tcPr>
            <w:tcW w:w="1578" w:type="dxa"/>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Riz usiné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non étuvé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max.</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(fraction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massique)</w:t>
            </w:r>
          </w:p>
        </w:tc>
        <w:tc>
          <w:tcPr>
            <w:tcW w:w="1843" w:type="dxa"/>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Riz décortiqué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étuvé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max.</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(fraction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massique)</w:t>
            </w:r>
          </w:p>
        </w:tc>
        <w:tc>
          <w:tcPr>
            <w:tcW w:w="1577" w:type="dxa"/>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Riz usiné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étuvé</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sz w:val="24"/>
                <w:szCs w:val="24"/>
              </w:rPr>
              <w:t>max.</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(fraction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massique)</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Matières étrangères:</w:t>
            </w:r>
          </w:p>
          <w:p w:rsidR="008C7F3C" w:rsidRPr="0061020E" w:rsidRDefault="008C7F3C" w:rsidP="008F6018">
            <w:pPr>
              <w:spacing w:after="120" w:line="240" w:lineRule="auto"/>
              <w:jc w:val="both"/>
              <w:rPr>
                <w:rFonts w:ascii="Rockwell" w:hAnsi="Rockwell"/>
                <w:i/>
                <w:sz w:val="24"/>
                <w:szCs w:val="24"/>
              </w:rPr>
            </w:pPr>
            <w:r w:rsidRPr="0061020E">
              <w:rPr>
                <w:rFonts w:ascii="Rockwell" w:hAnsi="Rockwell"/>
                <w:i/>
                <w:sz w:val="24"/>
                <w:szCs w:val="24"/>
              </w:rPr>
              <w:t>Organiques</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i/>
                <w:sz w:val="24"/>
                <w:szCs w:val="24"/>
              </w:rPr>
              <w:t xml:space="preserve"> inorganiques</w:t>
            </w:r>
          </w:p>
        </w:tc>
        <w:tc>
          <w:tcPr>
            <w:tcW w:w="1842" w:type="dxa"/>
          </w:tcPr>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tc>
        <w:tc>
          <w:tcPr>
            <w:tcW w:w="1578" w:type="dxa"/>
          </w:tcPr>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tc>
        <w:tc>
          <w:tcPr>
            <w:tcW w:w="1843" w:type="dxa"/>
          </w:tcPr>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tc>
        <w:tc>
          <w:tcPr>
            <w:tcW w:w="1577" w:type="dxa"/>
          </w:tcPr>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0,5</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paddy</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2,5</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0,3</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2,5</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0,3</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décortiqué non étuvé</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usiné non étuvé</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décortiqué étuvé</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r>
      <w:tr w:rsidR="008C7F3C" w:rsidRPr="006847BA" w:rsidTr="00D04CC3">
        <w:trPr>
          <w:trHeight w:val="582"/>
        </w:trPr>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usiné étuvé</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Fragments</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0,1</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0,1</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0,1</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0,1</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échauffés</w:t>
            </w:r>
          </w:p>
        </w:tc>
        <w:tc>
          <w:tcPr>
            <w:tcW w:w="1842" w:type="dxa"/>
          </w:tcPr>
          <w:p w:rsidR="008C7F3C" w:rsidRPr="0061020E" w:rsidRDefault="008C7F3C" w:rsidP="008F6018">
            <w:pPr>
              <w:spacing w:after="120" w:line="240" w:lineRule="auto"/>
              <w:jc w:val="both"/>
              <w:rPr>
                <w:rFonts w:ascii="Rockwell" w:hAnsi="Rockwell"/>
                <w:sz w:val="24"/>
                <w:szCs w:val="24"/>
                <w:vertAlign w:val="superscript"/>
              </w:rPr>
            </w:pPr>
            <w:r w:rsidRPr="0061020E">
              <w:rPr>
                <w:rFonts w:ascii="Rockwell" w:hAnsi="Rockwell"/>
                <w:sz w:val="24"/>
                <w:szCs w:val="24"/>
              </w:rPr>
              <w:t>2,0</w:t>
            </w:r>
            <w:r w:rsidRPr="0061020E">
              <w:rPr>
                <w:rFonts w:ascii="Rockwell" w:hAnsi="Rockwell"/>
                <w:sz w:val="24"/>
                <w:szCs w:val="24"/>
                <w:vertAlign w:val="superscript"/>
              </w:rPr>
              <w:t>a</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tc>
        <w:tc>
          <w:tcPr>
            <w:tcW w:w="1843" w:type="dxa"/>
          </w:tcPr>
          <w:p w:rsidR="008C7F3C" w:rsidRPr="0061020E" w:rsidRDefault="008C7F3C" w:rsidP="008F6018">
            <w:pPr>
              <w:spacing w:after="120" w:line="240" w:lineRule="auto"/>
              <w:jc w:val="both"/>
              <w:rPr>
                <w:rFonts w:ascii="Rockwell" w:hAnsi="Rockwell"/>
                <w:sz w:val="24"/>
                <w:szCs w:val="24"/>
              </w:rPr>
            </w:pPr>
            <w:smartTag w:uri="urn:schemas-microsoft-com:office:smarttags" w:element="metricconverter">
              <w:smartTagPr>
                <w:attr w:name="ProductID" w:val="2,0 a"/>
              </w:smartTagPr>
              <w:r w:rsidRPr="0061020E">
                <w:rPr>
                  <w:rFonts w:ascii="Rockwell" w:hAnsi="Rockwell"/>
                  <w:sz w:val="24"/>
                  <w:szCs w:val="24"/>
                </w:rPr>
                <w:t>2,0</w:t>
              </w:r>
              <w:r w:rsidRPr="0061020E">
                <w:rPr>
                  <w:rFonts w:ascii="Rockwell" w:hAnsi="Rockwell"/>
                  <w:sz w:val="24"/>
                  <w:szCs w:val="24"/>
                  <w:vertAlign w:val="superscript"/>
                </w:rPr>
                <w:t xml:space="preserve"> a</w:t>
              </w:r>
            </w:smartTag>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endommagés</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4,0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3,0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4,0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3,0</w:t>
            </w:r>
          </w:p>
        </w:tc>
      </w:tr>
      <w:tr w:rsidR="008C7F3C" w:rsidRPr="006847BA" w:rsidTr="00D04CC3">
        <w:trPr>
          <w:trHeight w:val="784"/>
        </w:trPr>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immatures et/ou</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mal formés</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8,0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8,0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crayeux</w:t>
            </w:r>
          </w:p>
        </w:tc>
        <w:tc>
          <w:tcPr>
            <w:tcW w:w="1842" w:type="dxa"/>
          </w:tcPr>
          <w:p w:rsidR="008C7F3C" w:rsidRPr="0061020E" w:rsidRDefault="008C7F3C" w:rsidP="008F6018">
            <w:pPr>
              <w:spacing w:after="120" w:line="240" w:lineRule="auto"/>
              <w:jc w:val="both"/>
              <w:rPr>
                <w:rFonts w:ascii="Rockwell" w:hAnsi="Rockwell"/>
                <w:sz w:val="24"/>
                <w:szCs w:val="24"/>
              </w:rPr>
            </w:pPr>
            <w:smartTag w:uri="urn:schemas-microsoft-com:office:smarttags" w:element="metricconverter">
              <w:smartTagPr>
                <w:attr w:name="ProductID" w:val="5,0 a"/>
              </w:smartTagPr>
              <w:r w:rsidRPr="0061020E">
                <w:rPr>
                  <w:rFonts w:ascii="Rockwell" w:hAnsi="Rockwell"/>
                  <w:sz w:val="24"/>
                  <w:szCs w:val="24"/>
                </w:rPr>
                <w:t>5,0</w:t>
              </w:r>
              <w:r w:rsidRPr="0061020E">
                <w:rPr>
                  <w:rFonts w:ascii="Rockwell" w:hAnsi="Rockwell"/>
                  <w:sz w:val="24"/>
                  <w:szCs w:val="24"/>
                  <w:vertAlign w:val="superscript"/>
                </w:rPr>
                <w:t xml:space="preserve"> a</w:t>
              </w:r>
            </w:smartTag>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5,0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rouges et grains</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striés de rouge</w:t>
            </w:r>
          </w:p>
        </w:tc>
        <w:tc>
          <w:tcPr>
            <w:tcW w:w="1842"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12,0</w:t>
            </w:r>
            <w:r w:rsidRPr="0061020E">
              <w:rPr>
                <w:rFonts w:ascii="Rockwell" w:hAnsi="Rockwell"/>
                <w:sz w:val="24"/>
                <w:szCs w:val="24"/>
                <w:vertAlign w:val="superscript"/>
              </w:rPr>
              <w:t xml:space="preserve"> b</w:t>
            </w:r>
          </w:p>
        </w:tc>
        <w:tc>
          <w:tcPr>
            <w:tcW w:w="1578"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12,0</w:t>
            </w:r>
          </w:p>
        </w:tc>
        <w:tc>
          <w:tcPr>
            <w:tcW w:w="1843"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12,0</w:t>
            </w:r>
            <w:r w:rsidRPr="0061020E">
              <w:rPr>
                <w:rFonts w:ascii="Rockwell" w:hAnsi="Rockwell"/>
                <w:sz w:val="24"/>
                <w:szCs w:val="24"/>
                <w:vertAlign w:val="superscript"/>
              </w:rPr>
              <w:t xml:space="preserve"> b</w:t>
            </w:r>
          </w:p>
        </w:tc>
        <w:tc>
          <w:tcPr>
            <w:tcW w:w="1577"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12,0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partiellement</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gélatinisés</w:t>
            </w:r>
          </w:p>
        </w:tc>
        <w:tc>
          <w:tcPr>
            <w:tcW w:w="1842"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578"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843" w:type="dxa"/>
            <w:vAlign w:val="center"/>
          </w:tcPr>
          <w:p w:rsidR="008C7F3C" w:rsidRPr="0061020E" w:rsidRDefault="008C7F3C" w:rsidP="008F6018">
            <w:pPr>
              <w:spacing w:after="120" w:line="240" w:lineRule="auto"/>
              <w:jc w:val="both"/>
              <w:rPr>
                <w:rFonts w:ascii="Rockwell" w:hAnsi="Rockwell"/>
                <w:sz w:val="24"/>
                <w:szCs w:val="24"/>
              </w:rPr>
            </w:pPr>
            <w:smartTag w:uri="urn:schemas-microsoft-com:office:smarttags" w:element="metricconverter">
              <w:smartTagPr>
                <w:attr w:name="ProductID" w:val="11,0 a"/>
              </w:smartTagPr>
              <w:r w:rsidRPr="0061020E">
                <w:rPr>
                  <w:rFonts w:ascii="Rockwell" w:hAnsi="Rockwell"/>
                  <w:sz w:val="24"/>
                  <w:szCs w:val="24"/>
                </w:rPr>
                <w:t>11,0</w:t>
              </w:r>
              <w:r w:rsidRPr="0061020E">
                <w:rPr>
                  <w:rFonts w:ascii="Rockwell" w:hAnsi="Rockwell"/>
                  <w:sz w:val="24"/>
                  <w:szCs w:val="24"/>
                  <w:vertAlign w:val="superscript"/>
                </w:rPr>
                <w:t xml:space="preserve"> a</w:t>
              </w:r>
            </w:smartTag>
          </w:p>
        </w:tc>
        <w:tc>
          <w:tcPr>
            <w:tcW w:w="1577" w:type="dxa"/>
            <w:vAlign w:val="center"/>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11,0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Grains noirs d'étuvage</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4,0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tc>
      </w:tr>
      <w:tr w:rsidR="008C7F3C" w:rsidRPr="006847BA" w:rsidTr="00CF55C0">
        <w:tc>
          <w:tcPr>
            <w:tcW w:w="280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Riz gluant</w:t>
            </w:r>
          </w:p>
        </w:tc>
        <w:tc>
          <w:tcPr>
            <w:tcW w:w="1842" w:type="dxa"/>
          </w:tcPr>
          <w:p w:rsidR="008C7F3C" w:rsidRPr="0061020E" w:rsidRDefault="008C7F3C" w:rsidP="008F6018">
            <w:pPr>
              <w:spacing w:after="120" w:line="240" w:lineRule="auto"/>
              <w:jc w:val="both"/>
              <w:rPr>
                <w:rFonts w:ascii="Rockwell" w:hAnsi="Rockwell"/>
                <w:sz w:val="24"/>
                <w:szCs w:val="24"/>
              </w:rPr>
            </w:pPr>
            <w:smartTag w:uri="urn:schemas-microsoft-com:office:smarttags" w:element="metricconverter">
              <w:smartTagPr>
                <w:attr w:name="ProductID" w:val="1,0 a"/>
              </w:smartTagPr>
              <w:r w:rsidRPr="0061020E">
                <w:rPr>
                  <w:rFonts w:ascii="Rockwell" w:hAnsi="Rockwell"/>
                  <w:sz w:val="24"/>
                  <w:szCs w:val="24"/>
                </w:rPr>
                <w:t>1,0</w:t>
              </w:r>
              <w:r w:rsidRPr="0061020E">
                <w:rPr>
                  <w:rFonts w:ascii="Rockwell" w:hAnsi="Rockwell"/>
                  <w:sz w:val="24"/>
                  <w:szCs w:val="24"/>
                  <w:vertAlign w:val="superscript"/>
                </w:rPr>
                <w:t xml:space="preserve"> a</w:t>
              </w:r>
            </w:smartTag>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c>
          <w:tcPr>
            <w:tcW w:w="1843" w:type="dxa"/>
          </w:tcPr>
          <w:p w:rsidR="008C7F3C" w:rsidRPr="0061020E" w:rsidRDefault="008C7F3C" w:rsidP="008F6018">
            <w:pPr>
              <w:spacing w:after="120" w:line="240" w:lineRule="auto"/>
              <w:jc w:val="both"/>
              <w:rPr>
                <w:rFonts w:ascii="Rockwell" w:hAnsi="Rockwell"/>
                <w:sz w:val="24"/>
                <w:szCs w:val="24"/>
              </w:rPr>
            </w:pPr>
            <w:smartTag w:uri="urn:schemas-microsoft-com:office:smarttags" w:element="metricconverter">
              <w:smartTagPr>
                <w:attr w:name="ProductID" w:val="1,0 a"/>
              </w:smartTagPr>
              <w:r w:rsidRPr="0061020E">
                <w:rPr>
                  <w:rFonts w:ascii="Rockwell" w:hAnsi="Rockwell"/>
                  <w:sz w:val="24"/>
                  <w:szCs w:val="24"/>
                </w:rPr>
                <w:t>1,0</w:t>
              </w:r>
              <w:r w:rsidRPr="0061020E">
                <w:rPr>
                  <w:rFonts w:ascii="Rockwell" w:hAnsi="Rockwell"/>
                  <w:sz w:val="24"/>
                  <w:szCs w:val="24"/>
                  <w:vertAlign w:val="superscript"/>
                </w:rPr>
                <w:t xml:space="preserve"> a</w:t>
              </w:r>
            </w:smartTag>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tc>
      </w:tr>
      <w:tr w:rsidR="008C7F3C" w:rsidRPr="006847BA" w:rsidTr="00D04CC3">
        <w:trPr>
          <w:trHeight w:val="52"/>
        </w:trPr>
        <w:tc>
          <w:tcPr>
            <w:tcW w:w="2808" w:type="dxa"/>
          </w:tcPr>
          <w:p w:rsidR="008C7F3C" w:rsidRPr="0061020E" w:rsidRDefault="00BB3F24" w:rsidP="008F6018">
            <w:pPr>
              <w:spacing w:after="120" w:line="240" w:lineRule="auto"/>
              <w:jc w:val="both"/>
              <w:rPr>
                <w:rFonts w:ascii="Rockwell" w:hAnsi="Rockwell"/>
                <w:sz w:val="24"/>
                <w:szCs w:val="24"/>
              </w:rPr>
            </w:pPr>
            <w:r w:rsidRPr="0061020E">
              <w:rPr>
                <w:rFonts w:ascii="Rockwell" w:hAnsi="Rockwell"/>
                <w:sz w:val="24"/>
                <w:szCs w:val="24"/>
              </w:rPr>
              <w:t>D</w:t>
            </w:r>
            <w:r w:rsidR="008C7F3C" w:rsidRPr="0061020E">
              <w:rPr>
                <w:rFonts w:ascii="Rockwell" w:hAnsi="Rockwell"/>
                <w:sz w:val="24"/>
                <w:szCs w:val="24"/>
              </w:rPr>
              <w:t>'autres types de riz</w:t>
            </w:r>
          </w:p>
          <w:p w:rsidR="008C7F3C" w:rsidRPr="0061020E" w:rsidRDefault="008C7F3C" w:rsidP="008F6018">
            <w:pPr>
              <w:spacing w:after="120" w:line="240" w:lineRule="auto"/>
              <w:jc w:val="both"/>
              <w:rPr>
                <w:rFonts w:ascii="Rockwell" w:hAnsi="Rockwell"/>
                <w:i/>
                <w:sz w:val="24"/>
                <w:szCs w:val="24"/>
              </w:rPr>
            </w:pPr>
            <w:r w:rsidRPr="0061020E">
              <w:rPr>
                <w:rFonts w:ascii="Rockwell" w:hAnsi="Rockwell"/>
                <w:i/>
                <w:sz w:val="24"/>
                <w:szCs w:val="24"/>
              </w:rPr>
              <w:t>Paddy</w:t>
            </w:r>
          </w:p>
          <w:p w:rsidR="008C7F3C" w:rsidRPr="0061020E" w:rsidRDefault="008C7F3C" w:rsidP="008F6018">
            <w:pPr>
              <w:spacing w:after="120" w:line="240" w:lineRule="auto"/>
              <w:jc w:val="both"/>
              <w:rPr>
                <w:rFonts w:ascii="Rockwell" w:hAnsi="Rockwell"/>
                <w:i/>
                <w:sz w:val="24"/>
                <w:szCs w:val="24"/>
              </w:rPr>
            </w:pPr>
            <w:r w:rsidRPr="0061020E">
              <w:rPr>
                <w:rFonts w:ascii="Rockwell" w:hAnsi="Rockwell"/>
                <w:i/>
                <w:sz w:val="24"/>
                <w:szCs w:val="24"/>
              </w:rPr>
              <w:t>Riz décortiqué</w:t>
            </w:r>
          </w:p>
          <w:p w:rsidR="008C7F3C" w:rsidRPr="0061020E" w:rsidRDefault="008C7F3C" w:rsidP="008F6018">
            <w:pPr>
              <w:spacing w:after="120" w:line="240" w:lineRule="auto"/>
              <w:jc w:val="both"/>
              <w:rPr>
                <w:rFonts w:ascii="Rockwell" w:hAnsi="Rockwell"/>
                <w:i/>
                <w:sz w:val="24"/>
                <w:szCs w:val="24"/>
              </w:rPr>
            </w:pPr>
            <w:r w:rsidRPr="0061020E">
              <w:rPr>
                <w:rFonts w:ascii="Rockwell" w:hAnsi="Rockwell"/>
                <w:i/>
                <w:sz w:val="24"/>
                <w:szCs w:val="24"/>
              </w:rPr>
              <w:lastRenderedPageBreak/>
              <w:t>Riz usiné</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i/>
                <w:sz w:val="24"/>
                <w:szCs w:val="24"/>
              </w:rPr>
              <w:t>Riz gluant</w:t>
            </w:r>
          </w:p>
        </w:tc>
        <w:tc>
          <w:tcPr>
            <w:tcW w:w="1842"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2,5</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Non </w:t>
            </w:r>
            <w:r w:rsidRPr="0061020E">
              <w:rPr>
                <w:rFonts w:ascii="Rockwell" w:hAnsi="Rockwell"/>
                <w:sz w:val="24"/>
                <w:szCs w:val="24"/>
              </w:rPr>
              <w:lastRenderedPageBreak/>
              <w:t>applicable 1,0</w:t>
            </w:r>
          </w:p>
        </w:tc>
        <w:tc>
          <w:tcPr>
            <w:tcW w:w="1578"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0,3</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1,0</w:t>
            </w:r>
          </w:p>
        </w:tc>
        <w:tc>
          <w:tcPr>
            <w:tcW w:w="1843"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0,3</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Non applicable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1,0</w:t>
            </w:r>
          </w:p>
        </w:tc>
        <w:tc>
          <w:tcPr>
            <w:tcW w:w="1577" w:type="dxa"/>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0,3</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1,0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2,0</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1,0</w:t>
            </w:r>
          </w:p>
        </w:tc>
      </w:tr>
      <w:tr w:rsidR="008C7F3C" w:rsidRPr="006847BA" w:rsidTr="008C4E94">
        <w:trPr>
          <w:trHeight w:val="52"/>
        </w:trPr>
        <w:tc>
          <w:tcPr>
            <w:tcW w:w="9648" w:type="dxa"/>
            <w:gridSpan w:val="5"/>
          </w:tcPr>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vertAlign w:val="superscript"/>
              </w:rPr>
              <w:lastRenderedPageBreak/>
              <w:t xml:space="preserve">a </w:t>
            </w:r>
            <w:r w:rsidRPr="0061020E">
              <w:rPr>
                <w:rFonts w:ascii="Rockwell" w:hAnsi="Rockwell"/>
                <w:sz w:val="24"/>
                <w:szCs w:val="24"/>
              </w:rPr>
              <w:t>Après usinage.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vertAlign w:val="superscript"/>
              </w:rPr>
              <w:t xml:space="preserve">b </w:t>
            </w:r>
            <w:r w:rsidRPr="0061020E">
              <w:rPr>
                <w:rFonts w:ascii="Rockwell" w:hAnsi="Rockwell"/>
                <w:sz w:val="24"/>
                <w:szCs w:val="24"/>
              </w:rPr>
              <w:t>Seul le riz (cargo) rouge entièrement décortiqué est considéré ici.</w:t>
            </w:r>
          </w:p>
        </w:tc>
      </w:tr>
    </w:tbl>
    <w:p w:rsidR="008C7F3C" w:rsidRPr="0061020E" w:rsidRDefault="008C7F3C" w:rsidP="008F6018">
      <w:pPr>
        <w:spacing w:after="120" w:line="240" w:lineRule="auto"/>
        <w:jc w:val="both"/>
        <w:rPr>
          <w:rFonts w:ascii="Rockwell" w:hAnsi="Rockwell"/>
          <w:sz w:val="24"/>
          <w:szCs w:val="24"/>
        </w:rPr>
      </w:pPr>
      <w:bookmarkStart w:id="244" w:name="_Toc149030023"/>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Classification qualitative</w:t>
      </w:r>
      <w:bookmarkEnd w:id="244"/>
    </w:p>
    <w:p w:rsidR="00082593" w:rsidRPr="0061020E" w:rsidRDefault="00082593" w:rsidP="008F6018">
      <w:pPr>
        <w:spacing w:after="120" w:line="240" w:lineRule="auto"/>
        <w:jc w:val="both"/>
        <w:rPr>
          <w:rFonts w:ascii="Rockwell" w:hAnsi="Rockwell"/>
          <w:i/>
          <w:sz w:val="24"/>
          <w:szCs w:val="24"/>
        </w:rPr>
      </w:pPr>
      <w:bookmarkStart w:id="245" w:name="_Toc116963432"/>
      <w:bookmarkStart w:id="246" w:name="_Toc149030024"/>
    </w:p>
    <w:p w:rsidR="008C7F3C" w:rsidRPr="0061020E" w:rsidRDefault="008C7F3C" w:rsidP="008F6018">
      <w:pPr>
        <w:spacing w:after="120" w:line="240" w:lineRule="auto"/>
        <w:jc w:val="both"/>
        <w:rPr>
          <w:rFonts w:ascii="Rockwell" w:hAnsi="Rockwell"/>
          <w:i/>
          <w:sz w:val="24"/>
          <w:szCs w:val="24"/>
        </w:rPr>
      </w:pPr>
      <w:r w:rsidRPr="0061020E">
        <w:rPr>
          <w:rFonts w:ascii="Rockwell" w:hAnsi="Rockwell"/>
          <w:i/>
          <w:iCs/>
          <w:sz w:val="24"/>
          <w:szCs w:val="24"/>
        </w:rPr>
        <w:t>Classification par catégorie</w:t>
      </w:r>
      <w:bookmarkEnd w:id="245"/>
      <w:bookmarkEnd w:id="246"/>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grains de riz visés par l’achat public</w:t>
      </w:r>
      <w:r w:rsidR="00BB3F24">
        <w:rPr>
          <w:rFonts w:ascii="Rockwell" w:hAnsi="Rockwell"/>
          <w:sz w:val="24"/>
          <w:szCs w:val="24"/>
        </w:rPr>
        <w:t>,</w:t>
      </w:r>
      <w:r w:rsidRPr="0061020E">
        <w:rPr>
          <w:rFonts w:ascii="Rockwell" w:hAnsi="Rockwell"/>
          <w:sz w:val="24"/>
          <w:szCs w:val="24"/>
        </w:rPr>
        <w:t xml:space="preserve"> peuvent être classés conformément </w:t>
      </w:r>
      <w:r w:rsidR="00BB3F24">
        <w:rPr>
          <w:rFonts w:ascii="Rockwell" w:hAnsi="Rockwell"/>
          <w:sz w:val="24"/>
          <w:szCs w:val="24"/>
        </w:rPr>
        <w:t>à</w:t>
      </w:r>
      <w:r w:rsidRPr="0061020E">
        <w:rPr>
          <w:rFonts w:ascii="Rockwell" w:hAnsi="Rockwell"/>
          <w:sz w:val="24"/>
          <w:szCs w:val="24"/>
        </w:rPr>
        <w:t xml:space="preserve"> la norme NBF 01 :080-2009, suivant trois catégories de qualité</w:t>
      </w:r>
      <w:r w:rsidR="00BB3F24">
        <w:rPr>
          <w:rFonts w:ascii="Rockwell" w:hAnsi="Rockwell"/>
          <w:sz w:val="24"/>
          <w:szCs w:val="24"/>
        </w:rPr>
        <w:t>,</w:t>
      </w:r>
      <w:r w:rsidRPr="0061020E">
        <w:rPr>
          <w:rFonts w:ascii="Rockwell" w:hAnsi="Rockwell"/>
          <w:sz w:val="24"/>
          <w:szCs w:val="24"/>
        </w:rPr>
        <w:t xml:space="preserve"> telles que définies ci-après.</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"LUXE"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grains de riz de cette catégorie doivent être de qualité supérieure. Ils doivent être homogènes et notamment</w:t>
      </w:r>
      <w:r w:rsidR="00BB3F24">
        <w:rPr>
          <w:rFonts w:ascii="Rockwell" w:hAnsi="Rockwell"/>
          <w:sz w:val="24"/>
          <w:szCs w:val="24"/>
        </w:rPr>
        <w:t>,</w:t>
      </w:r>
      <w:r w:rsidRPr="0061020E">
        <w:rPr>
          <w:rFonts w:ascii="Rockwell" w:hAnsi="Rockwell"/>
          <w:sz w:val="24"/>
          <w:szCs w:val="24"/>
        </w:rPr>
        <w:t xml:space="preserve"> exempts de brisures. Ils doivent avoir un bon goût, un bon parfum caractéristique de la variété et une présentation bien soignée.</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"SEMI-LUXE"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grains de riz de cette catégorie doivent être de bonne qualité. Ils doivent avoir un taux de brisure de l'ordre de 5 à 15 %. Ils doivent avoir un bon goût, un bon parfum caractéristique de la variété et une bonne présentation.</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"GRANDE CONSOMMATION"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grains de riz de cette catégorie doivent être de qualité moyenne. Ils doivent avoir un taux de brisure de l'ordre de 15 à 35 %.</w:t>
      </w:r>
    </w:p>
    <w:p w:rsidR="00082593" w:rsidRPr="0061020E" w:rsidRDefault="00082593" w:rsidP="008F6018">
      <w:pPr>
        <w:spacing w:after="120" w:line="240" w:lineRule="auto"/>
        <w:jc w:val="both"/>
        <w:rPr>
          <w:rFonts w:ascii="Rockwell" w:hAnsi="Rockwell"/>
          <w:b/>
          <w:i/>
          <w:iCs/>
          <w:sz w:val="24"/>
          <w:szCs w:val="24"/>
        </w:rPr>
      </w:pPr>
      <w:bookmarkStart w:id="247" w:name="_Toc116963433"/>
      <w:bookmarkStart w:id="248" w:name="_Toc149030025"/>
    </w:p>
    <w:p w:rsidR="008C7F3C" w:rsidRPr="0061020E" w:rsidRDefault="008C7F3C" w:rsidP="008F6018">
      <w:pPr>
        <w:spacing w:after="120" w:line="240" w:lineRule="auto"/>
        <w:jc w:val="both"/>
        <w:rPr>
          <w:rFonts w:ascii="Rockwell" w:hAnsi="Rockwell"/>
          <w:b/>
          <w:i/>
          <w:iCs/>
          <w:sz w:val="24"/>
          <w:szCs w:val="24"/>
        </w:rPr>
      </w:pPr>
      <w:r w:rsidRPr="0061020E">
        <w:rPr>
          <w:rFonts w:ascii="Rockwell" w:hAnsi="Rockwell"/>
          <w:b/>
          <w:bCs/>
          <w:i/>
          <w:iCs/>
          <w:sz w:val="24"/>
          <w:szCs w:val="24"/>
        </w:rPr>
        <w:t>Tolérances</w:t>
      </w:r>
      <w:bookmarkEnd w:id="247"/>
      <w:bookmarkEnd w:id="248"/>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Des tolérances de qualité sont admises dans chaque colis pour les grains de riz non conformes.</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"LUXE"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Il est toléré au maximum 5 % en nombre ou en masse de grains de riz ne répondant pas aux critères prévus pour la catégorie "LUXE", mais répondant à ceux de la catégorie "SEMI-LUXE".</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"SEMI-LUXE"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Il est toléré au maximum 10 % en nombre ou en masse de grains de riz ne répondant pas aux critères prévus pour la catégorie "SEMI-LUXE". </w:t>
      </w:r>
    </w:p>
    <w:p w:rsidR="008C7F3C" w:rsidRPr="0061020E" w:rsidRDefault="008C7F3C" w:rsidP="008F6018">
      <w:pPr>
        <w:spacing w:after="120" w:line="240" w:lineRule="auto"/>
        <w:jc w:val="both"/>
        <w:rPr>
          <w:rFonts w:ascii="Rockwell" w:hAnsi="Rockwell"/>
          <w:i/>
          <w:iCs/>
          <w:sz w:val="24"/>
          <w:szCs w:val="24"/>
        </w:rPr>
      </w:pPr>
      <w:r w:rsidRPr="0061020E">
        <w:rPr>
          <w:rFonts w:ascii="Rockwell" w:hAnsi="Rockwell"/>
          <w:i/>
          <w:iCs/>
          <w:sz w:val="24"/>
          <w:szCs w:val="24"/>
        </w:rPr>
        <w:t>Catégorie "GRANDE CONSOMMATION"</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Il est toléré au maximum 10 % en nombre ou en masse de grains de riz ne répondant pas aux critères prévus pour la catégorie "GRANDE CONSOMMATION".</w:t>
      </w:r>
    </w:p>
    <w:p w:rsidR="008C7F3C" w:rsidRPr="0061020E" w:rsidRDefault="008C7F3C" w:rsidP="008F6018">
      <w:pPr>
        <w:spacing w:after="120" w:line="240" w:lineRule="auto"/>
        <w:jc w:val="both"/>
        <w:rPr>
          <w:rFonts w:ascii="Rockwell" w:hAnsi="Rockwell"/>
          <w:sz w:val="24"/>
          <w:szCs w:val="24"/>
        </w:rPr>
      </w:pPr>
      <w:bookmarkStart w:id="249" w:name="_Toc116963434"/>
      <w:bookmarkStart w:id="250" w:name="_Toc149030026"/>
      <w:r w:rsidRPr="0061020E">
        <w:rPr>
          <w:rFonts w:ascii="Rockwell" w:hAnsi="Rockwell"/>
          <w:sz w:val="24"/>
          <w:szCs w:val="24"/>
        </w:rPr>
        <w:t>Spécifications contractuelles</w:t>
      </w:r>
      <w:bookmarkEnd w:id="249"/>
      <w:bookmarkEnd w:id="250"/>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Chaque contrat commercial doit indiquer</w:t>
      </w:r>
      <w:r w:rsidR="00BB3F24">
        <w:rPr>
          <w:rFonts w:ascii="Rockwell" w:hAnsi="Rockwell"/>
          <w:sz w:val="24"/>
          <w:szCs w:val="24"/>
        </w:rPr>
        <w:t>,</w:t>
      </w:r>
      <w:r w:rsidRPr="0061020E">
        <w:rPr>
          <w:rFonts w:ascii="Rockwell" w:hAnsi="Rockwell"/>
          <w:sz w:val="24"/>
          <w:szCs w:val="24"/>
        </w:rPr>
        <w:t xml:space="preserve"> de façon claire :</w:t>
      </w:r>
    </w:p>
    <w:p w:rsidR="008C7F3C" w:rsidRPr="0025018C" w:rsidRDefault="008C7F3C" w:rsidP="0025018C">
      <w:pPr>
        <w:pStyle w:val="Paragraphedeliste"/>
        <w:numPr>
          <w:ilvl w:val="1"/>
          <w:numId w:val="110"/>
        </w:numPr>
        <w:spacing w:after="120" w:line="240" w:lineRule="auto"/>
        <w:ind w:left="924" w:hanging="357"/>
        <w:jc w:val="both"/>
        <w:rPr>
          <w:rFonts w:ascii="Rockwell" w:hAnsi="Rockwell"/>
          <w:sz w:val="24"/>
          <w:szCs w:val="24"/>
        </w:rPr>
      </w:pPr>
      <w:r w:rsidRPr="0025018C">
        <w:rPr>
          <w:rFonts w:ascii="Rockwell" w:hAnsi="Rockwell"/>
          <w:sz w:val="24"/>
          <w:szCs w:val="24"/>
        </w:rPr>
        <w:t xml:space="preserve">le pourcentage total autorisé de brisures, classées selon les catégories retenues, et les proportions relatives </w:t>
      </w:r>
      <w:r w:rsidR="00BB3F24">
        <w:rPr>
          <w:rFonts w:ascii="Rockwell" w:hAnsi="Rockwell"/>
          <w:sz w:val="24"/>
          <w:szCs w:val="24"/>
        </w:rPr>
        <w:t xml:space="preserve">à </w:t>
      </w:r>
      <w:r w:rsidRPr="0025018C">
        <w:rPr>
          <w:rFonts w:ascii="Rockwell" w:hAnsi="Rockwell"/>
          <w:sz w:val="24"/>
          <w:szCs w:val="24"/>
        </w:rPr>
        <w:t>chacune de ces catégories ;</w:t>
      </w:r>
    </w:p>
    <w:p w:rsidR="008C7F3C" w:rsidRPr="0061020E" w:rsidRDefault="008C7F3C" w:rsidP="0025018C">
      <w:pPr>
        <w:pStyle w:val="Paragraphedeliste"/>
        <w:numPr>
          <w:ilvl w:val="1"/>
          <w:numId w:val="110"/>
        </w:numPr>
        <w:spacing w:after="120" w:line="240" w:lineRule="auto"/>
        <w:ind w:left="924" w:hanging="357"/>
        <w:jc w:val="both"/>
        <w:rPr>
          <w:rFonts w:ascii="Rockwell" w:hAnsi="Rockwell"/>
          <w:color w:val="000000"/>
          <w:sz w:val="24"/>
          <w:szCs w:val="24"/>
        </w:rPr>
      </w:pPr>
      <w:r w:rsidRPr="0061020E">
        <w:rPr>
          <w:rFonts w:ascii="Rockwell" w:hAnsi="Rockwell"/>
          <w:color w:val="000000"/>
          <w:sz w:val="24"/>
          <w:szCs w:val="24"/>
        </w:rPr>
        <w:t>tout lot de grains de riz qui dépasse l'une des limites admises ou fixées dans le tableau ci-dessus</w:t>
      </w:r>
      <w:r w:rsidR="00BB3F24">
        <w:rPr>
          <w:rFonts w:ascii="Rockwell" w:hAnsi="Rockwell"/>
          <w:color w:val="000000"/>
          <w:sz w:val="24"/>
          <w:szCs w:val="24"/>
        </w:rPr>
        <w:t>,</w:t>
      </w:r>
      <w:r w:rsidRPr="0061020E">
        <w:rPr>
          <w:rFonts w:ascii="Rockwell" w:hAnsi="Rockwell"/>
          <w:color w:val="000000"/>
          <w:sz w:val="24"/>
          <w:szCs w:val="24"/>
        </w:rPr>
        <w:t xml:space="preserve"> doit être considéré comme hors norme. Les lots de grains de riz hors norme ne doivent être commercialisés que dans le cadre d'un contrat spécial.</w:t>
      </w:r>
    </w:p>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sz w:val="24"/>
          <w:szCs w:val="24"/>
        </w:rPr>
      </w:pPr>
      <w:bookmarkStart w:id="251" w:name="_Toc149030027"/>
      <w:bookmarkStart w:id="252" w:name="_Toc150089607"/>
      <w:r w:rsidRPr="0061020E">
        <w:rPr>
          <w:rFonts w:ascii="Rockwell" w:hAnsi="Rockwell"/>
          <w:sz w:val="24"/>
          <w:szCs w:val="24"/>
        </w:rPr>
        <w:t>Conditionnement</w:t>
      </w:r>
      <w:bookmarkEnd w:id="251"/>
      <w:bookmarkEnd w:id="252"/>
    </w:p>
    <w:p w:rsidR="008C7F3C" w:rsidRPr="0061020E" w:rsidRDefault="008C7F3C" w:rsidP="008F6018">
      <w:pPr>
        <w:spacing w:after="120" w:line="240" w:lineRule="auto"/>
        <w:jc w:val="both"/>
        <w:rPr>
          <w:rFonts w:ascii="Rockwell" w:hAnsi="Rockwell"/>
          <w:sz w:val="24"/>
          <w:szCs w:val="24"/>
        </w:rPr>
      </w:pPr>
      <w:bookmarkStart w:id="253" w:name="_Toc149030028"/>
      <w:r w:rsidRPr="0061020E">
        <w:rPr>
          <w:rFonts w:ascii="Rockwell" w:hAnsi="Rockwell"/>
          <w:sz w:val="24"/>
          <w:szCs w:val="24"/>
        </w:rPr>
        <w:t>Emballage</w:t>
      </w:r>
      <w:bookmarkEnd w:id="253"/>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 riz doit être emballé dans des récipients propres à préserver les qualités hygiéniques, nutritionnelles, technologiques et organoleptiques des grains de riz.</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Les récipients, y compris les matériaux d'emballage, doivent être fabriqués avec des matériaux sans danger et convenant à l'usage auquel ils sont destinés. Ils ne doivent transmettre au produit aucune substance toxique, ni aucune odeur ou saveur indésirable.</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Lorsque le produit est emballé dans des sacs, ceux-ci doivent être propres, robustes et solidement cousus ou scellés.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Les papiers ou autres matériaux utilisés à l'intérieur des emballages doivent être neufs et non nocifs </w:t>
      </w:r>
      <w:r w:rsidR="00BB3F24">
        <w:rPr>
          <w:rFonts w:ascii="Rockwell" w:hAnsi="Rockwell"/>
          <w:color w:val="000000"/>
          <w:sz w:val="24"/>
          <w:szCs w:val="24"/>
        </w:rPr>
        <w:t>à</w:t>
      </w:r>
      <w:r w:rsidRPr="0061020E">
        <w:rPr>
          <w:rFonts w:ascii="Rockwell" w:hAnsi="Rockwell"/>
          <w:color w:val="000000"/>
          <w:sz w:val="24"/>
          <w:szCs w:val="24"/>
        </w:rPr>
        <w:t xml:space="preserve"> l'alimentation humaine. Dans le cas où ils portent des mentions imprimées, celles-ci ne doivent figurer que sur la face extérieure</w:t>
      </w:r>
      <w:r w:rsidR="00BB3F24">
        <w:rPr>
          <w:rFonts w:ascii="Rockwell" w:hAnsi="Rockwell"/>
          <w:color w:val="000000"/>
          <w:sz w:val="24"/>
          <w:szCs w:val="24"/>
        </w:rPr>
        <w:t>,</w:t>
      </w:r>
      <w:r w:rsidRPr="0061020E">
        <w:rPr>
          <w:rFonts w:ascii="Rockwell" w:hAnsi="Rockwell"/>
          <w:color w:val="000000"/>
          <w:sz w:val="24"/>
          <w:szCs w:val="24"/>
        </w:rPr>
        <w:t xml:space="preserve"> de façon à ne pas se trouver en contact direct avec les grains de riz.</w:t>
      </w:r>
    </w:p>
    <w:p w:rsidR="008C7F3C" w:rsidRPr="0061020E" w:rsidRDefault="008C7F3C" w:rsidP="008F6018">
      <w:pPr>
        <w:spacing w:after="120" w:line="240" w:lineRule="auto"/>
        <w:jc w:val="both"/>
        <w:rPr>
          <w:rFonts w:ascii="Rockwell" w:hAnsi="Rockwell"/>
          <w:b/>
          <w:color w:val="000000"/>
          <w:sz w:val="24"/>
          <w:szCs w:val="24"/>
        </w:rPr>
      </w:pPr>
      <w:r w:rsidRPr="0061020E">
        <w:rPr>
          <w:rFonts w:ascii="Rockwell" w:hAnsi="Rockwell"/>
          <w:color w:val="000000"/>
          <w:sz w:val="24"/>
          <w:szCs w:val="24"/>
        </w:rPr>
        <w:t>Le poids net du colis ne doit pas être inférieur à celui indiqué sur l'emballage.</w:t>
      </w:r>
      <w:r w:rsidRPr="0061020E">
        <w:rPr>
          <w:rFonts w:ascii="Rockwell" w:hAnsi="Rockwell"/>
          <w:b/>
          <w:color w:val="000000"/>
          <w:sz w:val="24"/>
          <w:szCs w:val="24"/>
        </w:rPr>
        <w:t xml:space="preserve"> </w:t>
      </w:r>
    </w:p>
    <w:p w:rsidR="008C7F3C" w:rsidRPr="0061020E" w:rsidRDefault="008C7F3C" w:rsidP="008F6018">
      <w:pPr>
        <w:spacing w:after="120" w:line="240" w:lineRule="auto"/>
        <w:jc w:val="both"/>
        <w:rPr>
          <w:rFonts w:ascii="Rockwell" w:hAnsi="Rockwell"/>
          <w:b/>
          <w:color w:val="000000"/>
          <w:sz w:val="24"/>
          <w:szCs w:val="24"/>
        </w:rPr>
      </w:pPr>
    </w:p>
    <w:p w:rsidR="008C7F3C" w:rsidRPr="0061020E" w:rsidRDefault="008C7F3C" w:rsidP="008F6018">
      <w:pPr>
        <w:spacing w:after="120" w:line="240" w:lineRule="auto"/>
        <w:jc w:val="both"/>
        <w:rPr>
          <w:rFonts w:ascii="Rockwell" w:hAnsi="Rockwell"/>
          <w:sz w:val="24"/>
          <w:szCs w:val="24"/>
        </w:rPr>
      </w:pPr>
      <w:bookmarkStart w:id="254" w:name="_Toc149030029"/>
      <w:r w:rsidRPr="0061020E">
        <w:rPr>
          <w:rFonts w:ascii="Rockwell" w:hAnsi="Rockwell"/>
          <w:sz w:val="24"/>
          <w:szCs w:val="24"/>
        </w:rPr>
        <w:t>Etiquetage</w:t>
      </w:r>
      <w:bookmarkEnd w:id="254"/>
    </w:p>
    <w:p w:rsidR="008C7F3C" w:rsidRPr="0061020E" w:rsidRDefault="008C7F3C" w:rsidP="008F6018">
      <w:pPr>
        <w:spacing w:after="120" w:line="240" w:lineRule="auto"/>
        <w:jc w:val="both"/>
        <w:rPr>
          <w:rFonts w:ascii="Rockwell" w:hAnsi="Rockwell"/>
          <w:i/>
          <w:color w:val="0000FF"/>
          <w:sz w:val="24"/>
          <w:szCs w:val="24"/>
        </w:rPr>
      </w:pPr>
      <w:bookmarkStart w:id="255" w:name="_Toc116963438"/>
      <w:bookmarkStart w:id="256" w:name="_Toc149030030"/>
      <w:r w:rsidRPr="0061020E">
        <w:rPr>
          <w:rFonts w:ascii="Rockwell" w:hAnsi="Rockwell"/>
          <w:i/>
          <w:iCs/>
          <w:sz w:val="24"/>
          <w:szCs w:val="24"/>
        </w:rPr>
        <w:t>Etiquetage des récipients destinés à la vente au détail</w:t>
      </w:r>
      <w:bookmarkEnd w:id="255"/>
      <w:bookmarkEnd w:id="256"/>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Les colis doivent porter, en caractères groupés sur une même face, lisibles, indélébiles et visibles de l'extérieur, les mentions suivantes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le nom du producteur ou de l'exportateur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la mention "GRAINS DE RIZ DU BURKINA FASO" ou le pays d'origine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le type de riz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la catégorie de classement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l'année de récolte (campagne) ;</w:t>
      </w:r>
    </w:p>
    <w:p w:rsidR="008C7F3C" w:rsidRPr="00083011" w:rsidRDefault="008C7F3C" w:rsidP="008F6018">
      <w:pPr>
        <w:pStyle w:val="Paragraphedeliste"/>
        <w:numPr>
          <w:ilvl w:val="0"/>
          <w:numId w:val="4"/>
        </w:numPr>
        <w:spacing w:after="120" w:line="240" w:lineRule="auto"/>
        <w:jc w:val="both"/>
        <w:rPr>
          <w:rFonts w:ascii="Rockwell" w:hAnsi="Rockwell"/>
          <w:color w:val="000000"/>
          <w:sz w:val="24"/>
          <w:szCs w:val="24"/>
        </w:rPr>
      </w:pPr>
      <w:r w:rsidRPr="00083011">
        <w:rPr>
          <w:rFonts w:ascii="Rockwell" w:hAnsi="Rockwell"/>
          <w:color w:val="000000"/>
          <w:sz w:val="24"/>
          <w:szCs w:val="24"/>
        </w:rPr>
        <w:t>le poids net du colis.</w:t>
      </w:r>
    </w:p>
    <w:p w:rsidR="00C27BEE" w:rsidRDefault="00C27BEE" w:rsidP="008F6018">
      <w:pPr>
        <w:spacing w:after="120" w:line="240" w:lineRule="auto"/>
        <w:jc w:val="both"/>
        <w:rPr>
          <w:rFonts w:ascii="Rockwell" w:hAnsi="Rockwell"/>
          <w:b/>
          <w:bCs/>
          <w:i/>
          <w:iCs/>
          <w:sz w:val="24"/>
          <w:szCs w:val="24"/>
        </w:rPr>
      </w:pPr>
      <w:bookmarkStart w:id="257" w:name="_Toc116963439"/>
      <w:bookmarkStart w:id="258" w:name="_Toc149030031"/>
    </w:p>
    <w:p w:rsidR="0025018C" w:rsidRDefault="0025018C" w:rsidP="008F6018">
      <w:pPr>
        <w:spacing w:after="120" w:line="240" w:lineRule="auto"/>
        <w:jc w:val="both"/>
        <w:rPr>
          <w:rFonts w:ascii="Rockwell" w:hAnsi="Rockwell"/>
          <w:b/>
          <w:bCs/>
          <w:i/>
          <w:iCs/>
          <w:sz w:val="24"/>
          <w:szCs w:val="24"/>
        </w:rPr>
      </w:pPr>
    </w:p>
    <w:p w:rsidR="0025018C" w:rsidRDefault="0025018C" w:rsidP="008F6018">
      <w:pPr>
        <w:spacing w:after="120" w:line="240" w:lineRule="auto"/>
        <w:jc w:val="both"/>
        <w:rPr>
          <w:rFonts w:ascii="Rockwell" w:hAnsi="Rockwell"/>
          <w:b/>
          <w:bCs/>
          <w:i/>
          <w:iCs/>
          <w:sz w:val="24"/>
          <w:szCs w:val="24"/>
        </w:rPr>
      </w:pPr>
    </w:p>
    <w:p w:rsidR="008C7F3C" w:rsidRPr="0025018C" w:rsidRDefault="008C7F3C" w:rsidP="008F6018">
      <w:pPr>
        <w:spacing w:after="120" w:line="240" w:lineRule="auto"/>
        <w:jc w:val="both"/>
        <w:rPr>
          <w:rFonts w:ascii="Rockwell" w:hAnsi="Rockwell"/>
          <w:i/>
          <w:iCs/>
          <w:sz w:val="24"/>
          <w:szCs w:val="24"/>
        </w:rPr>
      </w:pPr>
      <w:r w:rsidRPr="0025018C">
        <w:rPr>
          <w:rFonts w:ascii="Rockwell" w:hAnsi="Rockwell"/>
          <w:bCs/>
          <w:i/>
          <w:iCs/>
          <w:sz w:val="24"/>
          <w:szCs w:val="24"/>
        </w:rPr>
        <w:t>Etiquetage des récipients non destinés à la vente au détail</w:t>
      </w:r>
      <w:bookmarkEnd w:id="257"/>
      <w:bookmarkEnd w:id="258"/>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Les renseignements sur les récipients non destinés à la vente au détail doivent figurer soit sur le récipient, soit dans les documents d'accompagnement, exception faite du nom du produit, de l'identification du lot, et du nom et de l'adresse du </w:t>
      </w:r>
      <w:r w:rsidRPr="0061020E">
        <w:rPr>
          <w:rFonts w:ascii="Rockwell" w:hAnsi="Rockwell"/>
          <w:color w:val="000000"/>
          <w:sz w:val="24"/>
          <w:szCs w:val="24"/>
        </w:rPr>
        <w:lastRenderedPageBreak/>
        <w:t>fabricant ou de l'emballeur</w:t>
      </w:r>
      <w:r w:rsidR="00BB3F24">
        <w:rPr>
          <w:rFonts w:ascii="Rockwell" w:hAnsi="Rockwell"/>
          <w:color w:val="000000"/>
          <w:sz w:val="24"/>
          <w:szCs w:val="24"/>
        </w:rPr>
        <w:t>,</w:t>
      </w:r>
      <w:r w:rsidRPr="0061020E">
        <w:rPr>
          <w:rFonts w:ascii="Rockwell" w:hAnsi="Rockwell"/>
          <w:color w:val="000000"/>
          <w:sz w:val="24"/>
          <w:szCs w:val="24"/>
        </w:rPr>
        <w:t xml:space="preserve"> qui doivent figurer sur le récipient. Cependant, l'identification du lot, le nom et l'adresse du fabricant ou de l'emballeur peuvent être remplacés par une marque d'identification, à condition que cette marque puisse être clairement identifiée à l'aide des documents d'accompagnement. </w:t>
      </w:r>
    </w:p>
    <w:p w:rsidR="008C7F3C" w:rsidRPr="0061020E" w:rsidRDefault="008C7F3C" w:rsidP="008F6018">
      <w:pPr>
        <w:spacing w:after="120" w:line="240" w:lineRule="auto"/>
        <w:jc w:val="both"/>
        <w:rPr>
          <w:rFonts w:ascii="Rockwell" w:hAnsi="Rockwell"/>
          <w:sz w:val="24"/>
          <w:szCs w:val="24"/>
        </w:rPr>
      </w:pPr>
    </w:p>
    <w:p w:rsidR="008C7F3C" w:rsidRPr="0025018C" w:rsidRDefault="00861D4B" w:rsidP="008F6018">
      <w:pPr>
        <w:pStyle w:val="Titre3"/>
        <w:numPr>
          <w:ilvl w:val="0"/>
          <w:numId w:val="98"/>
        </w:numPr>
        <w:spacing w:before="0" w:after="120" w:line="240" w:lineRule="auto"/>
        <w:jc w:val="both"/>
        <w:rPr>
          <w:rFonts w:ascii="Rockwell" w:hAnsi="Rockwell"/>
          <w:color w:val="auto"/>
          <w:sz w:val="24"/>
          <w:szCs w:val="24"/>
        </w:rPr>
      </w:pPr>
      <w:bookmarkStart w:id="259" w:name="_Toc505063310"/>
      <w:r w:rsidRPr="0025018C">
        <w:rPr>
          <w:rFonts w:ascii="Rockwell" w:hAnsi="Rockwell"/>
          <w:color w:val="auto"/>
          <w:sz w:val="24"/>
          <w:szCs w:val="24"/>
        </w:rPr>
        <w:t>Le maïs</w:t>
      </w:r>
      <w:bookmarkEnd w:id="259"/>
      <w:r w:rsidRPr="0025018C">
        <w:rPr>
          <w:rFonts w:ascii="Rockwell" w:hAnsi="Rockwell"/>
          <w:color w:val="auto"/>
          <w:sz w:val="24"/>
          <w:szCs w:val="24"/>
        </w:rPr>
        <w:t xml:space="preserve"> </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Dans le cadre de la commande publique du maïs, </w:t>
      </w:r>
      <w:r w:rsidR="003578A6" w:rsidRPr="0061020E">
        <w:rPr>
          <w:rFonts w:ascii="Rockwell" w:hAnsi="Rockwell"/>
          <w:sz w:val="24"/>
          <w:szCs w:val="24"/>
        </w:rPr>
        <w:t>les critères de qualité du maïs sont les suivants :</w:t>
      </w:r>
      <w:bookmarkStart w:id="260" w:name="_Toc116962757"/>
      <w:bookmarkStart w:id="261" w:name="_Toc150085869"/>
    </w:p>
    <w:p w:rsidR="008C7F3C" w:rsidRPr="0061020E" w:rsidRDefault="00C76E53" w:rsidP="008F6018">
      <w:pPr>
        <w:spacing w:after="120" w:line="240" w:lineRule="auto"/>
        <w:jc w:val="both"/>
        <w:rPr>
          <w:rFonts w:ascii="Rockwell" w:hAnsi="Rockwell"/>
          <w:sz w:val="24"/>
          <w:szCs w:val="24"/>
        </w:rPr>
      </w:pPr>
      <w:r w:rsidRPr="0061020E">
        <w:rPr>
          <w:rFonts w:ascii="Rockwell" w:hAnsi="Rockwell"/>
          <w:caps/>
          <w:sz w:val="24"/>
          <w:szCs w:val="24"/>
        </w:rPr>
        <w:t>Caractéristiques requises</w:t>
      </w:r>
      <w:bookmarkEnd w:id="260"/>
      <w:bookmarkEnd w:id="261"/>
    </w:p>
    <w:p w:rsidR="008C7F3C" w:rsidRPr="0061020E" w:rsidRDefault="008C7F3C" w:rsidP="008F6018">
      <w:pPr>
        <w:spacing w:after="120" w:line="240" w:lineRule="auto"/>
        <w:jc w:val="both"/>
        <w:rPr>
          <w:rFonts w:ascii="Rockwell" w:hAnsi="Rockwell"/>
          <w:sz w:val="24"/>
          <w:szCs w:val="24"/>
        </w:rPr>
      </w:pPr>
      <w:bookmarkStart w:id="262" w:name="_Toc116962758"/>
      <w:r w:rsidRPr="0061020E">
        <w:rPr>
          <w:rFonts w:ascii="Rockwell" w:hAnsi="Rockwell"/>
          <w:sz w:val="24"/>
          <w:szCs w:val="24"/>
        </w:rPr>
        <w:t>Caractéristiques générales et propriétés organoleptiques</w:t>
      </w:r>
      <w:bookmarkEnd w:id="262"/>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 maïs en grains, dans le cadre des achats publics,  doit être :</w:t>
      </w:r>
    </w:p>
    <w:p w:rsidR="0025018C" w:rsidRDefault="008C7F3C" w:rsidP="0025018C">
      <w:pPr>
        <w:pStyle w:val="Paragraphedeliste"/>
        <w:numPr>
          <w:ilvl w:val="0"/>
          <w:numId w:val="111"/>
        </w:numPr>
        <w:spacing w:after="120" w:line="240" w:lineRule="auto"/>
        <w:jc w:val="both"/>
        <w:rPr>
          <w:rFonts w:ascii="Rockwell" w:hAnsi="Rockwell"/>
          <w:color w:val="000000"/>
          <w:sz w:val="24"/>
          <w:szCs w:val="24"/>
        </w:rPr>
      </w:pPr>
      <w:r w:rsidRPr="0025018C">
        <w:rPr>
          <w:rFonts w:ascii="Rockwell" w:hAnsi="Rockwell"/>
          <w:color w:val="000000"/>
          <w:sz w:val="24"/>
          <w:szCs w:val="24"/>
        </w:rPr>
        <w:t xml:space="preserve">sain et propre </w:t>
      </w:r>
      <w:r w:rsidR="00BB3F24">
        <w:rPr>
          <w:rFonts w:ascii="Rockwell" w:hAnsi="Rockwell"/>
          <w:color w:val="000000"/>
          <w:sz w:val="24"/>
          <w:szCs w:val="24"/>
        </w:rPr>
        <w:t>à</w:t>
      </w:r>
      <w:r w:rsidRPr="0025018C">
        <w:rPr>
          <w:rFonts w:ascii="Rockwell" w:hAnsi="Rockwell"/>
          <w:color w:val="000000"/>
          <w:sz w:val="24"/>
          <w:szCs w:val="24"/>
        </w:rPr>
        <w:t xml:space="preserve"> la consommation humaine ;</w:t>
      </w:r>
    </w:p>
    <w:p w:rsidR="0025018C" w:rsidRDefault="008C7F3C" w:rsidP="0025018C">
      <w:pPr>
        <w:pStyle w:val="Paragraphedeliste"/>
        <w:numPr>
          <w:ilvl w:val="0"/>
          <w:numId w:val="111"/>
        </w:numPr>
        <w:spacing w:after="120" w:line="240" w:lineRule="auto"/>
        <w:jc w:val="both"/>
        <w:rPr>
          <w:rFonts w:ascii="Rockwell" w:hAnsi="Rockwell"/>
          <w:color w:val="000000"/>
          <w:sz w:val="24"/>
          <w:szCs w:val="24"/>
        </w:rPr>
      </w:pPr>
      <w:r w:rsidRPr="0025018C">
        <w:rPr>
          <w:rFonts w:ascii="Rockwell" w:hAnsi="Rockwell"/>
          <w:color w:val="000000"/>
          <w:sz w:val="24"/>
          <w:szCs w:val="24"/>
        </w:rPr>
        <w:t>sec, non germé et de qualité marchande ;</w:t>
      </w:r>
    </w:p>
    <w:p w:rsidR="0025018C" w:rsidRDefault="008C7F3C" w:rsidP="0025018C">
      <w:pPr>
        <w:pStyle w:val="Paragraphedeliste"/>
        <w:numPr>
          <w:ilvl w:val="0"/>
          <w:numId w:val="111"/>
        </w:numPr>
        <w:spacing w:after="120" w:line="240" w:lineRule="auto"/>
        <w:jc w:val="both"/>
        <w:rPr>
          <w:rFonts w:ascii="Rockwell" w:hAnsi="Rockwell"/>
          <w:color w:val="000000"/>
          <w:sz w:val="24"/>
          <w:szCs w:val="24"/>
        </w:rPr>
      </w:pPr>
      <w:r w:rsidRPr="0025018C">
        <w:rPr>
          <w:rFonts w:ascii="Rockwell" w:hAnsi="Rockwell"/>
          <w:color w:val="000000"/>
          <w:sz w:val="24"/>
          <w:szCs w:val="24"/>
        </w:rPr>
        <w:t>exempt d'odeurs et de goûts anormaux ;</w:t>
      </w:r>
    </w:p>
    <w:p w:rsidR="008C7F3C" w:rsidRPr="0025018C" w:rsidRDefault="008C7F3C" w:rsidP="0025018C">
      <w:pPr>
        <w:pStyle w:val="Paragraphedeliste"/>
        <w:numPr>
          <w:ilvl w:val="0"/>
          <w:numId w:val="111"/>
        </w:numPr>
        <w:spacing w:after="120" w:line="240" w:lineRule="auto"/>
        <w:jc w:val="both"/>
        <w:rPr>
          <w:rFonts w:ascii="Rockwell" w:hAnsi="Rockwell"/>
          <w:color w:val="000000"/>
          <w:sz w:val="24"/>
          <w:szCs w:val="24"/>
        </w:rPr>
      </w:pPr>
      <w:r w:rsidRPr="0025018C">
        <w:rPr>
          <w:rFonts w:ascii="Rockwell" w:hAnsi="Rockwell"/>
          <w:color w:val="000000"/>
          <w:sz w:val="24"/>
          <w:szCs w:val="24"/>
        </w:rPr>
        <w:t>exempt de souillures en quantités susceptibles de présenter un risque pour la santé humaine.</w:t>
      </w:r>
    </w:p>
    <w:p w:rsidR="008C7F3C" w:rsidRPr="0061020E" w:rsidRDefault="008C7F3C" w:rsidP="008F6018">
      <w:pPr>
        <w:spacing w:after="120" w:line="240" w:lineRule="auto"/>
        <w:jc w:val="both"/>
        <w:rPr>
          <w:rFonts w:ascii="Rockwell" w:hAnsi="Rockwell"/>
          <w:color w:val="000000"/>
          <w:sz w:val="24"/>
          <w:szCs w:val="24"/>
        </w:rPr>
      </w:pPr>
    </w:p>
    <w:p w:rsidR="008C7F3C" w:rsidRPr="0061020E" w:rsidRDefault="008C7F3C" w:rsidP="008F6018">
      <w:pPr>
        <w:spacing w:after="120" w:line="240" w:lineRule="auto"/>
        <w:jc w:val="both"/>
        <w:rPr>
          <w:rFonts w:ascii="Rockwell" w:hAnsi="Rockwell"/>
          <w:sz w:val="24"/>
          <w:szCs w:val="24"/>
        </w:rPr>
      </w:pPr>
      <w:bookmarkStart w:id="263" w:name="_Toc116962759"/>
      <w:r w:rsidRPr="0061020E">
        <w:rPr>
          <w:rFonts w:ascii="Rockwell" w:hAnsi="Rockwell"/>
          <w:sz w:val="24"/>
          <w:szCs w:val="24"/>
        </w:rPr>
        <w:t>Caractéristiques sanitaires</w:t>
      </w:r>
      <w:bookmarkEnd w:id="263"/>
    </w:p>
    <w:p w:rsidR="008C7F3C" w:rsidRPr="0061020E" w:rsidRDefault="008C7F3C" w:rsidP="008F6018">
      <w:pPr>
        <w:spacing w:after="120" w:line="240" w:lineRule="auto"/>
        <w:jc w:val="both"/>
        <w:rPr>
          <w:rFonts w:ascii="Rockwell" w:hAnsi="Rockwell"/>
          <w:i/>
          <w:iCs/>
          <w:color w:val="000000"/>
          <w:sz w:val="24"/>
          <w:szCs w:val="24"/>
        </w:rPr>
      </w:pPr>
      <w:r w:rsidRPr="0061020E">
        <w:rPr>
          <w:rFonts w:ascii="Rockwell" w:hAnsi="Rockwell"/>
          <w:color w:val="000000"/>
          <w:sz w:val="24"/>
          <w:szCs w:val="24"/>
        </w:rPr>
        <w:t xml:space="preserve">Les additifs, les résidus de pesticides, les mycotoxines, les métaux lourds et autres contaminants dans les grains de maïs ne doivent pas excéder les limites maximales admises par la réglementation nationale du pays de destination ou, à défaut, par la Commission mixte FAO/OMS du </w:t>
      </w:r>
      <w:r w:rsidRPr="0061020E">
        <w:rPr>
          <w:rFonts w:ascii="Rockwell" w:hAnsi="Rockwell"/>
          <w:i/>
          <w:iCs/>
          <w:color w:val="000000"/>
          <w:sz w:val="24"/>
          <w:szCs w:val="24"/>
        </w:rPr>
        <w:t>Codex Alimentarius.</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grains de maïs doivent être exempts d'insectes et d’acariens visibles à l’œil nu</w:t>
      </w:r>
      <w:r w:rsidR="00BB3F24">
        <w:rPr>
          <w:rFonts w:ascii="Rockwell" w:hAnsi="Rockwell"/>
          <w:sz w:val="24"/>
          <w:szCs w:val="24"/>
        </w:rPr>
        <w:t>,</w:t>
      </w:r>
      <w:r w:rsidRPr="0061020E">
        <w:rPr>
          <w:rFonts w:ascii="Rockwell" w:hAnsi="Rockwell"/>
          <w:sz w:val="24"/>
          <w:szCs w:val="24"/>
        </w:rPr>
        <w:t xml:space="preserve"> lorsqu’ils sont déterminés selon les normes </w:t>
      </w:r>
      <w:r w:rsidRPr="0061020E">
        <w:rPr>
          <w:rFonts w:ascii="Rockwell" w:hAnsi="Rockwell"/>
          <w:color w:val="000000"/>
          <w:sz w:val="24"/>
          <w:szCs w:val="24"/>
        </w:rPr>
        <w:t>ISO 6639-2</w:t>
      </w:r>
      <w:r w:rsidRPr="0061020E">
        <w:rPr>
          <w:rFonts w:ascii="Rockwell" w:hAnsi="Rockwell"/>
          <w:sz w:val="24"/>
          <w:szCs w:val="24"/>
        </w:rPr>
        <w:t xml:space="preserve"> et </w:t>
      </w:r>
      <w:r w:rsidRPr="0061020E">
        <w:rPr>
          <w:rFonts w:ascii="Rockwell" w:hAnsi="Rockwell"/>
          <w:color w:val="000000"/>
          <w:sz w:val="24"/>
          <w:szCs w:val="24"/>
        </w:rPr>
        <w:t>l’ISO 6639-3</w:t>
      </w:r>
      <w:r w:rsidRPr="0061020E">
        <w:rPr>
          <w:rFonts w:ascii="Rockwell" w:hAnsi="Rockwell"/>
          <w:sz w:val="24"/>
          <w:szCs w:val="24"/>
        </w:rPr>
        <w:t>.</w:t>
      </w:r>
    </w:p>
    <w:p w:rsidR="0025018C" w:rsidRDefault="0025018C" w:rsidP="008F6018">
      <w:pPr>
        <w:spacing w:after="120" w:line="240" w:lineRule="auto"/>
        <w:jc w:val="both"/>
        <w:rPr>
          <w:rFonts w:ascii="Rockwell" w:hAnsi="Rockwell"/>
          <w:sz w:val="24"/>
          <w:szCs w:val="24"/>
        </w:rPr>
      </w:pPr>
      <w:bookmarkStart w:id="264" w:name="_Toc116962760"/>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Caractéristiques physiques et chimiques</w:t>
      </w:r>
      <w:bookmarkEnd w:id="264"/>
      <w:r w:rsidRPr="0061020E">
        <w:rPr>
          <w:rFonts w:ascii="Rockwell" w:hAnsi="Rockwell"/>
          <w:sz w:val="24"/>
          <w:szCs w:val="24"/>
        </w:rPr>
        <w:t xml:space="preserve"> </w:t>
      </w:r>
    </w:p>
    <w:p w:rsidR="008C7F3C" w:rsidRPr="0061020E" w:rsidRDefault="008C7F3C" w:rsidP="008F6018">
      <w:pPr>
        <w:spacing w:after="120" w:line="240" w:lineRule="auto"/>
        <w:jc w:val="both"/>
        <w:rPr>
          <w:rFonts w:ascii="Rockwell" w:hAnsi="Rockwell"/>
          <w:b/>
          <w:i/>
          <w:iCs/>
          <w:sz w:val="24"/>
          <w:szCs w:val="24"/>
        </w:rPr>
      </w:pPr>
      <w:bookmarkStart w:id="265" w:name="_Toc116962761"/>
      <w:r w:rsidRPr="0061020E">
        <w:rPr>
          <w:rFonts w:ascii="Rockwell" w:hAnsi="Rockwell"/>
          <w:b/>
          <w:bCs/>
          <w:i/>
          <w:iCs/>
          <w:sz w:val="24"/>
          <w:szCs w:val="24"/>
        </w:rPr>
        <w:t>Teneur en eau du grain</w:t>
      </w:r>
      <w:bookmarkEnd w:id="265"/>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La teneur en eau des grains de maïs</w:t>
      </w:r>
      <w:r w:rsidR="00BB3F24">
        <w:rPr>
          <w:rFonts w:ascii="Rockwell" w:hAnsi="Rockwell"/>
          <w:color w:val="000000"/>
          <w:sz w:val="24"/>
          <w:szCs w:val="24"/>
        </w:rPr>
        <w:t>,</w:t>
      </w:r>
      <w:r w:rsidRPr="0061020E">
        <w:rPr>
          <w:rFonts w:ascii="Rockwell" w:hAnsi="Rockwell"/>
          <w:color w:val="000000"/>
          <w:sz w:val="24"/>
          <w:szCs w:val="24"/>
        </w:rPr>
        <w:t xml:space="preserve"> déterminée selon la norme ISO 6540 :1980(F)</w:t>
      </w:r>
      <w:r w:rsidR="00BB3F24">
        <w:rPr>
          <w:rFonts w:ascii="Rockwell" w:hAnsi="Rockwell"/>
          <w:color w:val="000000"/>
          <w:sz w:val="24"/>
          <w:szCs w:val="24"/>
        </w:rPr>
        <w:t>,</w:t>
      </w:r>
      <w:r w:rsidRPr="0061020E">
        <w:rPr>
          <w:rFonts w:ascii="Rockwell" w:hAnsi="Rockwell"/>
          <w:color w:val="FF0000"/>
          <w:sz w:val="24"/>
          <w:szCs w:val="24"/>
        </w:rPr>
        <w:t xml:space="preserve"> </w:t>
      </w:r>
      <w:r w:rsidRPr="0061020E">
        <w:rPr>
          <w:rFonts w:ascii="Rockwell" w:hAnsi="Rockwell"/>
          <w:color w:val="000000"/>
          <w:sz w:val="24"/>
          <w:szCs w:val="24"/>
        </w:rPr>
        <w:t>ne doit pas être supérieure à 13 %</w:t>
      </w:r>
      <w:r w:rsidRPr="0061020E">
        <w:rPr>
          <w:rFonts w:ascii="Rockwell" w:hAnsi="Rockwell"/>
          <w:i/>
          <w:color w:val="000000"/>
          <w:sz w:val="24"/>
          <w:szCs w:val="24"/>
        </w:rPr>
        <w:t xml:space="preserve"> (m/m</w:t>
      </w:r>
      <w:r w:rsidRPr="0061020E">
        <w:rPr>
          <w:rFonts w:ascii="Rockwell" w:hAnsi="Rockwell"/>
          <w:color w:val="000000"/>
          <w:sz w:val="24"/>
          <w:szCs w:val="24"/>
        </w:rPr>
        <w:t>).</w:t>
      </w:r>
    </w:p>
    <w:p w:rsidR="008C7F3C" w:rsidRPr="0061020E" w:rsidRDefault="008C7F3C" w:rsidP="008F6018">
      <w:pPr>
        <w:spacing w:after="120" w:line="240" w:lineRule="auto"/>
        <w:jc w:val="both"/>
        <w:rPr>
          <w:rFonts w:ascii="Rockwell" w:hAnsi="Rockwell"/>
          <w:b/>
          <w:i/>
          <w:iCs/>
          <w:sz w:val="24"/>
          <w:szCs w:val="24"/>
        </w:rPr>
      </w:pPr>
      <w:bookmarkStart w:id="266" w:name="_Toc116962762"/>
      <w:r w:rsidRPr="0061020E">
        <w:rPr>
          <w:rFonts w:ascii="Rockwell" w:hAnsi="Rockwell"/>
          <w:b/>
          <w:bCs/>
          <w:i/>
          <w:iCs/>
          <w:sz w:val="24"/>
          <w:szCs w:val="24"/>
        </w:rPr>
        <w:t>Masse volumique</w:t>
      </w:r>
      <w:bookmarkEnd w:id="266"/>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La masse volumique dite «</w:t>
      </w:r>
      <w:r w:rsidR="00BB3F24">
        <w:rPr>
          <w:rFonts w:ascii="Rockwell" w:hAnsi="Rockwell"/>
          <w:sz w:val="24"/>
          <w:szCs w:val="24"/>
        </w:rPr>
        <w:t xml:space="preserve"> </w:t>
      </w:r>
      <w:r w:rsidRPr="0061020E">
        <w:rPr>
          <w:rFonts w:ascii="Rockwell" w:hAnsi="Rockwell"/>
          <w:sz w:val="24"/>
          <w:szCs w:val="24"/>
        </w:rPr>
        <w:t>masse à l'hectolitre</w:t>
      </w:r>
      <w:r w:rsidR="00BB3F24">
        <w:rPr>
          <w:rFonts w:ascii="Rockwell" w:hAnsi="Rockwell"/>
          <w:sz w:val="24"/>
          <w:szCs w:val="24"/>
        </w:rPr>
        <w:t xml:space="preserve"> </w:t>
      </w:r>
      <w:r w:rsidRPr="0061020E">
        <w:rPr>
          <w:rFonts w:ascii="Rockwell" w:hAnsi="Rockwell"/>
          <w:sz w:val="24"/>
          <w:szCs w:val="24"/>
        </w:rPr>
        <w:t>» des grains de maïs doit être  déterminée au moyen d'instruments de mesure</w:t>
      </w:r>
      <w:r w:rsidR="009E4715">
        <w:rPr>
          <w:rFonts w:ascii="Rockwell" w:hAnsi="Rockwell"/>
          <w:sz w:val="24"/>
          <w:szCs w:val="24"/>
        </w:rPr>
        <w:t>,</w:t>
      </w:r>
      <w:r w:rsidRPr="0061020E">
        <w:rPr>
          <w:rFonts w:ascii="Rockwell" w:hAnsi="Rockwell"/>
          <w:sz w:val="24"/>
          <w:szCs w:val="24"/>
        </w:rPr>
        <w:t xml:space="preserve"> étalonnés selon la méthode de référence donnée dans la norme </w:t>
      </w:r>
      <w:r w:rsidRPr="0061020E">
        <w:rPr>
          <w:rFonts w:ascii="Rockwell" w:hAnsi="Rockwell"/>
          <w:color w:val="000000"/>
          <w:sz w:val="24"/>
          <w:szCs w:val="24"/>
        </w:rPr>
        <w:t xml:space="preserve">ISO 7971-1 </w:t>
      </w:r>
      <w:r w:rsidRPr="0061020E">
        <w:rPr>
          <w:rFonts w:ascii="Rockwell" w:hAnsi="Rockwell"/>
          <w:sz w:val="24"/>
          <w:szCs w:val="24"/>
        </w:rPr>
        <w:t xml:space="preserve">ou, à défaut, la méthode pratique donnée dans </w:t>
      </w:r>
      <w:r w:rsidRPr="0061020E">
        <w:rPr>
          <w:rFonts w:ascii="Rockwell" w:hAnsi="Rockwell"/>
          <w:color w:val="000000"/>
          <w:sz w:val="24"/>
          <w:szCs w:val="24"/>
        </w:rPr>
        <w:t xml:space="preserve">ISO 7971-2 </w:t>
      </w:r>
      <w:r w:rsidRPr="0061020E">
        <w:rPr>
          <w:rFonts w:ascii="Rockwell" w:hAnsi="Rockwell"/>
          <w:sz w:val="24"/>
          <w:szCs w:val="24"/>
        </w:rPr>
        <w:t xml:space="preserve">; elle ne doit pas être inférieure à  </w:t>
      </w:r>
      <w:r w:rsidRPr="0061020E">
        <w:rPr>
          <w:rFonts w:ascii="Rockwell" w:hAnsi="Rockwell"/>
          <w:color w:val="000000"/>
          <w:sz w:val="24"/>
          <w:szCs w:val="24"/>
        </w:rPr>
        <w:t xml:space="preserve">700 </w:t>
      </w:r>
      <w:r w:rsidRPr="0061020E">
        <w:rPr>
          <w:rFonts w:ascii="Rockwell" w:hAnsi="Rockwell"/>
          <w:sz w:val="24"/>
          <w:szCs w:val="24"/>
        </w:rPr>
        <w:t>g/l.</w:t>
      </w:r>
    </w:p>
    <w:p w:rsidR="008C7F3C" w:rsidRPr="0061020E" w:rsidRDefault="008C7F3C" w:rsidP="008F6018">
      <w:pPr>
        <w:spacing w:after="120" w:line="240" w:lineRule="auto"/>
        <w:jc w:val="both"/>
        <w:rPr>
          <w:rFonts w:ascii="Rockwell" w:hAnsi="Rockwell"/>
          <w:color w:val="000000"/>
          <w:sz w:val="24"/>
          <w:szCs w:val="24"/>
        </w:rPr>
      </w:pPr>
    </w:p>
    <w:p w:rsidR="008C7F3C" w:rsidRPr="0061020E" w:rsidRDefault="008C7F3C" w:rsidP="008F6018">
      <w:pPr>
        <w:spacing w:after="120" w:line="240" w:lineRule="auto"/>
        <w:jc w:val="both"/>
        <w:rPr>
          <w:rFonts w:ascii="Rockwell" w:hAnsi="Rockwell"/>
          <w:sz w:val="24"/>
          <w:szCs w:val="24"/>
        </w:rPr>
      </w:pPr>
      <w:bookmarkStart w:id="267" w:name="_Toc116962763"/>
      <w:r w:rsidRPr="0061020E">
        <w:rPr>
          <w:rFonts w:ascii="Rockwell" w:hAnsi="Rockwell"/>
          <w:sz w:val="24"/>
          <w:szCs w:val="24"/>
        </w:rPr>
        <w:t>Impuretés</w:t>
      </w:r>
      <w:bookmarkEnd w:id="267"/>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La  teneur  maximale pour chaque  impureté ne doit  pas  être supérieure à la valeur donnée dans le tableau</w:t>
      </w:r>
      <w:r w:rsidR="009E4715">
        <w:rPr>
          <w:rFonts w:ascii="Rockwell" w:hAnsi="Rockwell"/>
          <w:sz w:val="24"/>
          <w:szCs w:val="24"/>
        </w:rPr>
        <w:t>,</w:t>
      </w:r>
      <w:r w:rsidRPr="0061020E">
        <w:rPr>
          <w:rFonts w:ascii="Rockwell" w:hAnsi="Rockwell"/>
          <w:sz w:val="24"/>
          <w:szCs w:val="24"/>
        </w:rPr>
        <w:t xml:space="preserve"> ci-dessous.</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La teneur maximale en grains de maïs endommagés, cassés, échaudés, avariés, attaqués par les déprédateurs, et d’autres céréales</w:t>
      </w:r>
      <w:r w:rsidR="009E4715">
        <w:rPr>
          <w:rFonts w:ascii="Rockwell" w:hAnsi="Rockwell"/>
          <w:sz w:val="24"/>
          <w:szCs w:val="24"/>
        </w:rPr>
        <w:t>,</w:t>
      </w:r>
      <w:r w:rsidRPr="0061020E">
        <w:rPr>
          <w:rFonts w:ascii="Rockwell" w:hAnsi="Rockwell"/>
          <w:sz w:val="24"/>
          <w:szCs w:val="24"/>
        </w:rPr>
        <w:t xml:space="preserve"> ne doit pas être supérieure à </w:t>
      </w:r>
      <w:r w:rsidRPr="0061020E">
        <w:rPr>
          <w:rFonts w:ascii="Rockwell" w:hAnsi="Rockwell"/>
          <w:color w:val="000000"/>
          <w:sz w:val="24"/>
          <w:szCs w:val="24"/>
        </w:rPr>
        <w:t>7,5 %</w:t>
      </w:r>
      <w:r w:rsidRPr="0061020E">
        <w:rPr>
          <w:rFonts w:ascii="Rockwell" w:hAnsi="Rockwell"/>
          <w:sz w:val="24"/>
          <w:szCs w:val="24"/>
        </w:rPr>
        <w:t xml:space="preserve"> (fraction massique) au total.</w:t>
      </w:r>
    </w:p>
    <w:p w:rsidR="008C7F3C" w:rsidRPr="0061020E" w:rsidRDefault="008C7F3C" w:rsidP="008F6018">
      <w:pPr>
        <w:spacing w:after="120" w:line="240" w:lineRule="auto"/>
        <w:jc w:val="both"/>
        <w:rPr>
          <w:rFonts w:ascii="Rockwell" w:hAnsi="Rockwell"/>
          <w:color w:val="000000"/>
          <w:sz w:val="24"/>
          <w:szCs w:val="24"/>
        </w:rPr>
      </w:pP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 xml:space="preserve">Autres grains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lastRenderedPageBreak/>
        <w:t xml:space="preserve">Tous les grains d’autres céréales dans les grains de maïs, doivent être classés comme "autres céréales"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Lorsque la variété de base du maïs annoncée contient des grains de couleur, une classification</w:t>
      </w:r>
      <w:r w:rsidR="009E4715">
        <w:rPr>
          <w:rFonts w:ascii="Rockwell" w:hAnsi="Rockwell"/>
          <w:color w:val="000000"/>
          <w:sz w:val="24"/>
          <w:szCs w:val="24"/>
        </w:rPr>
        <w:t>,</w:t>
      </w:r>
      <w:r w:rsidRPr="0061020E">
        <w:rPr>
          <w:rFonts w:ascii="Rockwell" w:hAnsi="Rockwell"/>
          <w:color w:val="000000"/>
          <w:sz w:val="24"/>
          <w:szCs w:val="24"/>
        </w:rPr>
        <w:t xml:space="preserve"> selon la proportion des grains de couleur</w:t>
      </w:r>
      <w:r w:rsidR="009E4715">
        <w:rPr>
          <w:rFonts w:ascii="Rockwell" w:hAnsi="Rockwell"/>
          <w:color w:val="000000"/>
          <w:sz w:val="24"/>
          <w:szCs w:val="24"/>
        </w:rPr>
        <w:t>,</w:t>
      </w:r>
      <w:r w:rsidRPr="0061020E">
        <w:rPr>
          <w:rFonts w:ascii="Rockwell" w:hAnsi="Rockwell"/>
          <w:color w:val="000000"/>
          <w:sz w:val="24"/>
          <w:szCs w:val="24"/>
        </w:rPr>
        <w:t xml:space="preserve"> se fera de la manière suivante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Maïs jaune (3.3) ne doit pas contenir plus de 5 % en masse de grains de maïs blanc et/ou rouge.</w:t>
      </w:r>
      <w:r w:rsidRPr="0061020E">
        <w:rPr>
          <w:rFonts w:ascii="Rockwell" w:hAnsi="Rockwell"/>
          <w:color w:val="000000"/>
          <w:sz w:val="24"/>
          <w:szCs w:val="24"/>
        </w:rPr>
        <w:br/>
        <w:t>Pour plus de 5% en masse de maïs blanc et/ou rouge dans le maïs jaune, les grains de maïs blanc et/ou rouge doivent être classés comme "autres céréales"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Maïs blanc (3.4) ne doit pas contenir plus de 5 % en masse de grains de maïs jaune et/ou rouge.</w:t>
      </w:r>
      <w:r w:rsidRPr="0061020E">
        <w:rPr>
          <w:rFonts w:ascii="Rockwell" w:hAnsi="Rockwell"/>
          <w:color w:val="000000"/>
          <w:sz w:val="24"/>
          <w:szCs w:val="24"/>
        </w:rPr>
        <w:br/>
        <w:t>Pour plus de 5% en masse de maïs jaune et/ou rouge dans le maïs blanc, les grains de maïs jaune et/ou rouge doivent être classés comme "autres céréales"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Maïs rouge (3.5) ne doit pas contenir plus de 5 % en masse de grains de maïs jaune et/ou blanc. </w:t>
      </w:r>
      <w:r w:rsidRPr="0061020E">
        <w:rPr>
          <w:rFonts w:ascii="Rockwell" w:hAnsi="Rockwell"/>
          <w:color w:val="000000"/>
          <w:sz w:val="24"/>
          <w:szCs w:val="24"/>
        </w:rPr>
        <w:br/>
        <w:t>Pour plus de 5% en masse de maïs jaune et/ou blanc dans le maïs rouge, les grains de maïs jaune et/ou blanc doivent être classés comme "autres céréales" ;</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Maïs mixte : comprend les grains de maïs n'appartenant pas aux catégories jaune, blanche ou rouge, définies aux points 3.3</w:t>
      </w:r>
      <w:r w:rsidR="009E4715">
        <w:rPr>
          <w:rFonts w:ascii="Rockwell" w:hAnsi="Rockwell"/>
          <w:color w:val="000000"/>
          <w:sz w:val="24"/>
          <w:szCs w:val="24"/>
        </w:rPr>
        <w:t xml:space="preserve"> ,</w:t>
      </w:r>
      <w:r w:rsidRPr="0061020E">
        <w:rPr>
          <w:rFonts w:ascii="Rockwell" w:hAnsi="Rockwell"/>
          <w:color w:val="000000"/>
          <w:sz w:val="24"/>
          <w:szCs w:val="24"/>
        </w:rPr>
        <w:t xml:space="preserve"> 3.4 et 3.5.</w:t>
      </w:r>
    </w:p>
    <w:p w:rsidR="00F70F89" w:rsidRDefault="00F70F89" w:rsidP="008F6018">
      <w:pPr>
        <w:spacing w:after="120" w:line="240" w:lineRule="auto"/>
        <w:jc w:val="both"/>
        <w:rPr>
          <w:rFonts w:ascii="Rockwell" w:hAnsi="Rockwell"/>
          <w:b/>
          <w:bCs/>
          <w:sz w:val="24"/>
          <w:szCs w:val="24"/>
        </w:rPr>
      </w:pP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bCs/>
          <w:sz w:val="24"/>
          <w:szCs w:val="24"/>
        </w:rPr>
        <w:t>Tableau : Teneurs maximales en impuretés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620"/>
        <w:gridCol w:w="2718"/>
        <w:gridCol w:w="1602"/>
      </w:tblGrid>
      <w:tr w:rsidR="008C7F3C" w:rsidRPr="006847BA" w:rsidTr="00985952">
        <w:trPr>
          <w:trHeight w:val="1101"/>
          <w:tblHeader/>
        </w:trPr>
        <w:tc>
          <w:tcPr>
            <w:tcW w:w="3708" w:type="dxa"/>
            <w:vAlign w:val="center"/>
          </w:tcPr>
          <w:p w:rsidR="008C7F3C" w:rsidRPr="0061020E" w:rsidRDefault="008C7F3C" w:rsidP="008F6018">
            <w:pPr>
              <w:spacing w:after="120" w:line="240" w:lineRule="auto"/>
              <w:jc w:val="both"/>
              <w:rPr>
                <w:rFonts w:ascii="Rockwell" w:hAnsi="Rockwell"/>
                <w:b/>
                <w:color w:val="000000"/>
                <w:sz w:val="24"/>
                <w:szCs w:val="24"/>
              </w:rPr>
            </w:pPr>
            <w:r w:rsidRPr="0061020E">
              <w:rPr>
                <w:rFonts w:ascii="Rockwell" w:hAnsi="Rockwell"/>
                <w:b/>
                <w:bCs/>
                <w:color w:val="000000"/>
                <w:sz w:val="24"/>
                <w:szCs w:val="24"/>
              </w:rPr>
              <w:t>IMPURETES</w:t>
            </w:r>
          </w:p>
        </w:tc>
        <w:tc>
          <w:tcPr>
            <w:tcW w:w="1620" w:type="dxa"/>
            <w:vAlign w:val="center"/>
          </w:tcPr>
          <w:p w:rsidR="008C7F3C" w:rsidRPr="0061020E" w:rsidRDefault="008C7F3C" w:rsidP="008F6018">
            <w:pPr>
              <w:spacing w:after="120" w:line="240" w:lineRule="auto"/>
              <w:jc w:val="both"/>
              <w:rPr>
                <w:rFonts w:ascii="Rockwell" w:hAnsi="Rockwell"/>
                <w:b/>
                <w:color w:val="000000"/>
                <w:sz w:val="24"/>
                <w:szCs w:val="24"/>
              </w:rPr>
            </w:pPr>
          </w:p>
          <w:p w:rsidR="008C7F3C" w:rsidRPr="0061020E" w:rsidRDefault="008C7F3C" w:rsidP="008F6018">
            <w:pPr>
              <w:spacing w:after="120" w:line="240" w:lineRule="auto"/>
              <w:jc w:val="both"/>
              <w:rPr>
                <w:rFonts w:ascii="Rockwell" w:hAnsi="Rockwell"/>
                <w:b/>
                <w:color w:val="000000"/>
                <w:sz w:val="24"/>
                <w:szCs w:val="24"/>
              </w:rPr>
            </w:pPr>
            <w:r w:rsidRPr="0061020E">
              <w:rPr>
                <w:rFonts w:ascii="Rockwell" w:hAnsi="Rockwell"/>
                <w:b/>
                <w:bCs/>
                <w:color w:val="000000"/>
                <w:sz w:val="24"/>
                <w:szCs w:val="24"/>
              </w:rPr>
              <w:t>DEFINITION</w:t>
            </w:r>
          </w:p>
        </w:tc>
        <w:tc>
          <w:tcPr>
            <w:tcW w:w="2718" w:type="dxa"/>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bCs/>
                <w:sz w:val="24"/>
                <w:szCs w:val="24"/>
              </w:rPr>
              <w:t>Valeur maximale admissible</w:t>
            </w:r>
          </w:p>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bCs/>
                <w:sz w:val="24"/>
                <w:szCs w:val="24"/>
              </w:rPr>
              <w:t>%</w:t>
            </w:r>
          </w:p>
          <w:p w:rsidR="008C7F3C" w:rsidRPr="0061020E" w:rsidRDefault="008C7F3C" w:rsidP="00F70F89">
            <w:pPr>
              <w:spacing w:after="120" w:line="240" w:lineRule="auto"/>
              <w:jc w:val="both"/>
              <w:rPr>
                <w:rFonts w:ascii="Rockwell" w:hAnsi="Rockwell"/>
                <w:b/>
                <w:color w:val="000000"/>
                <w:sz w:val="24"/>
                <w:szCs w:val="24"/>
              </w:rPr>
            </w:pPr>
            <w:r w:rsidRPr="0061020E">
              <w:rPr>
                <w:rFonts w:ascii="Rockwell" w:hAnsi="Rockwell"/>
                <w:sz w:val="24"/>
                <w:szCs w:val="24"/>
              </w:rPr>
              <w:t>(fraction massique)</w:t>
            </w:r>
          </w:p>
        </w:tc>
        <w:tc>
          <w:tcPr>
            <w:tcW w:w="1602" w:type="dxa"/>
            <w:vAlign w:val="center"/>
          </w:tcPr>
          <w:p w:rsidR="008C7F3C" w:rsidRPr="0061020E" w:rsidRDefault="008C7F3C" w:rsidP="008F6018">
            <w:pPr>
              <w:spacing w:after="120" w:line="240" w:lineRule="auto"/>
              <w:jc w:val="both"/>
              <w:rPr>
                <w:rFonts w:ascii="Rockwell" w:hAnsi="Rockwell"/>
                <w:b/>
                <w:sz w:val="24"/>
                <w:szCs w:val="24"/>
              </w:rPr>
            </w:pPr>
            <w:r w:rsidRPr="0061020E">
              <w:rPr>
                <w:rFonts w:ascii="Rockwell" w:hAnsi="Rockwell"/>
                <w:b/>
                <w:bCs/>
                <w:sz w:val="24"/>
                <w:szCs w:val="24"/>
              </w:rPr>
              <w:t>METHODE D’ANALYSE</w:t>
            </w: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Grains cassés</w:t>
            </w:r>
          </w:p>
        </w:tc>
        <w:tc>
          <w:tcPr>
            <w:tcW w:w="1620" w:type="dxa"/>
            <w:vMerge w:val="restart"/>
            <w:vAlign w:val="center"/>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NBF 01-77 :2009</w:t>
            </w:r>
          </w:p>
        </w:tc>
        <w:tc>
          <w:tcPr>
            <w:tcW w:w="2718" w:type="dxa"/>
          </w:tcPr>
          <w:p w:rsidR="008C7F3C" w:rsidRPr="0061020E" w:rsidRDefault="008C7F3C" w:rsidP="008F6018">
            <w:pPr>
              <w:spacing w:after="120" w:line="240" w:lineRule="auto"/>
              <w:jc w:val="both"/>
              <w:rPr>
                <w:rFonts w:ascii="Rockwell" w:hAnsi="Rockwell"/>
                <w:color w:val="000000"/>
                <w:sz w:val="24"/>
                <w:szCs w:val="24"/>
                <w:vertAlign w:val="superscript"/>
                <w:lang w:val="en-GB"/>
              </w:rPr>
            </w:pPr>
            <w:r w:rsidRPr="0061020E">
              <w:rPr>
                <w:rFonts w:ascii="Rockwell" w:hAnsi="Rockwell"/>
                <w:color w:val="000000"/>
                <w:sz w:val="24"/>
                <w:szCs w:val="24"/>
                <w:lang w:val="en-GB"/>
              </w:rPr>
              <w:t>2,0</w:t>
            </w:r>
            <w:r w:rsidRPr="0061020E">
              <w:rPr>
                <w:rFonts w:ascii="Rockwell" w:hAnsi="Rockwell"/>
                <w:color w:val="000000"/>
                <w:sz w:val="24"/>
                <w:szCs w:val="24"/>
                <w:vertAlign w:val="superscript"/>
                <w:lang w:val="en-GB"/>
              </w:rPr>
              <w:t>a</w:t>
            </w:r>
          </w:p>
        </w:tc>
        <w:tc>
          <w:tcPr>
            <w:tcW w:w="1602" w:type="dxa"/>
            <w:vMerge w:val="restart"/>
            <w:vAlign w:val="center"/>
          </w:tcPr>
          <w:p w:rsidR="008C7F3C" w:rsidRPr="0061020E" w:rsidRDefault="008C7F3C" w:rsidP="008F6018">
            <w:pPr>
              <w:spacing w:after="120" w:line="240" w:lineRule="auto"/>
              <w:jc w:val="both"/>
              <w:rPr>
                <w:rFonts w:ascii="Rockwell" w:hAnsi="Rockwell"/>
                <w:color w:val="000000"/>
                <w:sz w:val="24"/>
                <w:szCs w:val="24"/>
                <w:lang w:val="en-GB"/>
              </w:rPr>
            </w:pPr>
            <w:r w:rsidRPr="0061020E">
              <w:rPr>
                <w:rFonts w:ascii="Rockwell" w:hAnsi="Rockwell"/>
                <w:color w:val="000000"/>
                <w:sz w:val="24"/>
                <w:szCs w:val="24"/>
                <w:lang w:val="en-GB"/>
              </w:rPr>
              <w:t>NBF 01-084 :2009</w:t>
            </w: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Grains échaudés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smartTag w:uri="urn:schemas-microsoft-com:office:smarttags" w:element="metricconverter">
              <w:smartTagPr>
                <w:attr w:name="ProductID" w:val="2,0 a"/>
              </w:smartTagPr>
              <w:r w:rsidRPr="0061020E">
                <w:rPr>
                  <w:rFonts w:ascii="Rockwell" w:hAnsi="Rockwell"/>
                  <w:color w:val="000000"/>
                  <w:sz w:val="24"/>
                  <w:szCs w:val="24"/>
                </w:rPr>
                <w:t>2,0</w:t>
              </w:r>
              <w:r w:rsidRPr="0061020E">
                <w:rPr>
                  <w:rFonts w:ascii="Rockwell" w:hAnsi="Rockwell"/>
                  <w:color w:val="000000"/>
                  <w:sz w:val="24"/>
                  <w:szCs w:val="24"/>
                  <w:vertAlign w:val="superscript"/>
                </w:rPr>
                <w:t xml:space="preserve"> a</w:t>
              </w:r>
            </w:smartTag>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Grains avariés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smartTag w:uri="urn:schemas-microsoft-com:office:smarttags" w:element="metricconverter">
              <w:smartTagPr>
                <w:attr w:name="ProductID" w:val="0,5 a"/>
              </w:smartTagPr>
              <w:r w:rsidRPr="0061020E">
                <w:rPr>
                  <w:rFonts w:ascii="Rockwell" w:hAnsi="Rockwell"/>
                  <w:color w:val="000000"/>
                  <w:sz w:val="24"/>
                  <w:szCs w:val="24"/>
                </w:rPr>
                <w:t>0,5</w:t>
              </w:r>
              <w:r w:rsidRPr="0061020E">
                <w:rPr>
                  <w:rFonts w:ascii="Rockwell" w:hAnsi="Rockwell"/>
                  <w:color w:val="000000"/>
                  <w:sz w:val="24"/>
                  <w:szCs w:val="24"/>
                  <w:vertAlign w:val="superscript"/>
                </w:rPr>
                <w:t xml:space="preserve"> a</w:t>
              </w:r>
            </w:smartTag>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Grains endommagés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smartTag w:uri="urn:schemas-microsoft-com:office:smarttags" w:element="metricconverter">
              <w:smartTagPr>
                <w:attr w:name="ProductID" w:val="1,0 a"/>
              </w:smartTagPr>
              <w:r w:rsidRPr="0061020E">
                <w:rPr>
                  <w:rFonts w:ascii="Rockwell" w:hAnsi="Rockwell"/>
                  <w:color w:val="000000"/>
                  <w:sz w:val="24"/>
                  <w:szCs w:val="24"/>
                </w:rPr>
                <w:t>1,0</w:t>
              </w:r>
              <w:r w:rsidRPr="0061020E">
                <w:rPr>
                  <w:rFonts w:ascii="Rockwell" w:hAnsi="Rockwell"/>
                  <w:color w:val="000000"/>
                  <w:sz w:val="24"/>
                  <w:szCs w:val="24"/>
                  <w:vertAlign w:val="superscript"/>
                </w:rPr>
                <w:t xml:space="preserve"> a</w:t>
              </w:r>
            </w:smartTag>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Grains attaqués par les déprédateurs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smartTag w:uri="urn:schemas-microsoft-com:office:smarttags" w:element="metricconverter">
              <w:smartTagPr>
                <w:attr w:name="ProductID" w:val="1,0 a"/>
              </w:smartTagPr>
              <w:r w:rsidRPr="0061020E">
                <w:rPr>
                  <w:rFonts w:ascii="Rockwell" w:hAnsi="Rockwell"/>
                  <w:color w:val="000000"/>
                  <w:sz w:val="24"/>
                  <w:szCs w:val="24"/>
                </w:rPr>
                <w:t>1,0</w:t>
              </w:r>
              <w:r w:rsidRPr="0061020E">
                <w:rPr>
                  <w:rFonts w:ascii="Rockwell" w:hAnsi="Rockwell"/>
                  <w:color w:val="000000"/>
                  <w:sz w:val="24"/>
                  <w:szCs w:val="24"/>
                  <w:vertAlign w:val="superscript"/>
                </w:rPr>
                <w:t xml:space="preserve"> a</w:t>
              </w:r>
            </w:smartTag>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i/>
                <w:color w:val="000000"/>
                <w:sz w:val="24"/>
                <w:szCs w:val="24"/>
              </w:rPr>
            </w:pPr>
            <w:r w:rsidRPr="0061020E">
              <w:rPr>
                <w:rFonts w:ascii="Rockwell" w:hAnsi="Rockwell"/>
                <w:i/>
                <w:color w:val="000000"/>
                <w:sz w:val="24"/>
                <w:szCs w:val="24"/>
              </w:rPr>
              <w:t>Autres céréales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smartTag w:uri="urn:schemas-microsoft-com:office:smarttags" w:element="metricconverter">
              <w:smartTagPr>
                <w:attr w:name="ProductID" w:val="1,0 a"/>
              </w:smartTagPr>
              <w:r w:rsidRPr="0061020E">
                <w:rPr>
                  <w:rFonts w:ascii="Rockwell" w:hAnsi="Rockwell"/>
                  <w:color w:val="000000"/>
                  <w:sz w:val="24"/>
                  <w:szCs w:val="24"/>
                </w:rPr>
                <w:t>1,0</w:t>
              </w:r>
              <w:r w:rsidRPr="0061020E">
                <w:rPr>
                  <w:rFonts w:ascii="Rockwell" w:hAnsi="Rockwell"/>
                  <w:color w:val="000000"/>
                  <w:sz w:val="24"/>
                  <w:szCs w:val="24"/>
                  <w:vertAlign w:val="superscript"/>
                </w:rPr>
                <w:t xml:space="preserve"> a</w:t>
              </w:r>
            </w:smartTag>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sz w:val="24"/>
                <w:szCs w:val="24"/>
              </w:rPr>
              <w:t>Matières étrangères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2</w:t>
            </w:r>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sz w:val="24"/>
                <w:szCs w:val="24"/>
              </w:rPr>
              <w:t>Éléments non organiques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0,5</w:t>
            </w:r>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sz w:val="24"/>
                <w:szCs w:val="24"/>
              </w:rPr>
              <w:t>Graines nuisibles et/ou toxiques,</w:t>
            </w:r>
          </w:p>
        </w:tc>
        <w:tc>
          <w:tcPr>
            <w:tcW w:w="1620" w:type="dxa"/>
            <w:vMerge/>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0,05</w:t>
            </w:r>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rPr>
          <w:cantSplit/>
        </w:trPr>
        <w:tc>
          <w:tcPr>
            <w:tcW w:w="370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sz w:val="24"/>
                <w:szCs w:val="24"/>
              </w:rPr>
              <w:t>Chacune des graines toxiques</w:t>
            </w:r>
          </w:p>
        </w:tc>
        <w:tc>
          <w:tcPr>
            <w:tcW w:w="1620" w:type="dxa"/>
          </w:tcPr>
          <w:p w:rsidR="008C7F3C" w:rsidRPr="0061020E" w:rsidRDefault="008C7F3C" w:rsidP="008F6018">
            <w:pPr>
              <w:spacing w:after="120" w:line="240" w:lineRule="auto"/>
              <w:jc w:val="both"/>
              <w:rPr>
                <w:rFonts w:ascii="Rockwell" w:hAnsi="Rockwell"/>
                <w:color w:val="000000"/>
                <w:sz w:val="24"/>
                <w:szCs w:val="24"/>
              </w:rPr>
            </w:pPr>
          </w:p>
        </w:tc>
        <w:tc>
          <w:tcPr>
            <w:tcW w:w="2718" w:type="dxa"/>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0,05</w:t>
            </w:r>
          </w:p>
        </w:tc>
        <w:tc>
          <w:tcPr>
            <w:tcW w:w="1602" w:type="dxa"/>
            <w:vMerge/>
          </w:tcPr>
          <w:p w:rsidR="008C7F3C" w:rsidRPr="0061020E" w:rsidRDefault="008C7F3C" w:rsidP="008F6018">
            <w:pPr>
              <w:spacing w:after="120" w:line="240" w:lineRule="auto"/>
              <w:jc w:val="both"/>
              <w:rPr>
                <w:rFonts w:ascii="Rockwell" w:hAnsi="Rockwell"/>
                <w:color w:val="000000"/>
                <w:sz w:val="24"/>
                <w:szCs w:val="24"/>
              </w:rPr>
            </w:pPr>
          </w:p>
        </w:tc>
      </w:tr>
      <w:tr w:rsidR="008C7F3C" w:rsidRPr="006847BA" w:rsidTr="00985952">
        <w:tc>
          <w:tcPr>
            <w:tcW w:w="9648" w:type="dxa"/>
            <w:gridSpan w:val="4"/>
          </w:tcPr>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sz w:val="24"/>
                <w:szCs w:val="24"/>
                <w:vertAlign w:val="superscript"/>
              </w:rPr>
              <w:t>a</w:t>
            </w:r>
            <w:r w:rsidRPr="0061020E">
              <w:rPr>
                <w:rFonts w:ascii="Rockwell" w:hAnsi="Rockwell"/>
                <w:sz w:val="24"/>
                <w:szCs w:val="24"/>
              </w:rPr>
              <w:t xml:space="preserve"> La teneur maximale en grains cassés, grains échaudés, grains avariés, grains attaqués par les déprédateurs et d’autres céréales, ne doit pas être supérieure à 7,5 % (fraction massique) au total. </w:t>
            </w:r>
          </w:p>
        </w:tc>
      </w:tr>
    </w:tbl>
    <w:p w:rsidR="008C7F3C" w:rsidRDefault="008C7F3C" w:rsidP="008F6018">
      <w:pPr>
        <w:spacing w:after="120" w:line="240" w:lineRule="auto"/>
        <w:jc w:val="both"/>
        <w:rPr>
          <w:rFonts w:ascii="Rockwell" w:hAnsi="Rockwell"/>
          <w:color w:val="000000"/>
          <w:sz w:val="24"/>
          <w:szCs w:val="24"/>
        </w:rPr>
      </w:pPr>
    </w:p>
    <w:p w:rsidR="008C7F3C" w:rsidRPr="0061020E" w:rsidRDefault="008C7F3C" w:rsidP="008F6018">
      <w:pPr>
        <w:spacing w:after="120" w:line="240" w:lineRule="auto"/>
        <w:jc w:val="both"/>
        <w:rPr>
          <w:rFonts w:ascii="Rockwell" w:hAnsi="Rockwell"/>
          <w:sz w:val="24"/>
          <w:szCs w:val="24"/>
        </w:rPr>
      </w:pPr>
      <w:bookmarkStart w:id="268" w:name="_Toc116962764"/>
      <w:bookmarkStart w:id="269" w:name="_Toc150085870"/>
      <w:r w:rsidRPr="0061020E">
        <w:rPr>
          <w:rFonts w:ascii="Rockwell" w:hAnsi="Rockwell"/>
          <w:sz w:val="24"/>
          <w:szCs w:val="24"/>
        </w:rPr>
        <w:t>Conditionnement</w:t>
      </w:r>
      <w:bookmarkEnd w:id="268"/>
      <w:bookmarkEnd w:id="269"/>
    </w:p>
    <w:p w:rsidR="008C7F3C" w:rsidRPr="0061020E" w:rsidRDefault="008C7F3C" w:rsidP="008F6018">
      <w:pPr>
        <w:spacing w:after="120" w:line="240" w:lineRule="auto"/>
        <w:jc w:val="both"/>
        <w:rPr>
          <w:rFonts w:ascii="Rockwell" w:hAnsi="Rockwell"/>
          <w:sz w:val="24"/>
          <w:szCs w:val="24"/>
        </w:rPr>
      </w:pPr>
      <w:bookmarkStart w:id="270" w:name="_Toc116962765"/>
      <w:r w:rsidRPr="0061020E">
        <w:rPr>
          <w:rFonts w:ascii="Rockwell" w:hAnsi="Rockwell"/>
          <w:sz w:val="24"/>
          <w:szCs w:val="24"/>
        </w:rPr>
        <w:t>Emballage</w:t>
      </w:r>
      <w:bookmarkEnd w:id="270"/>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lastRenderedPageBreak/>
        <w:t>Le maïs en grains doit être emballé dans des récipients propres préservant les qualités hygiéniques, nutritionnelles, technologiques et organoleptiques des grains de maïs.</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récipients, y compris les matériaux d'emballage, doivent être fabriqués avec des matériaux sans danger et convenant à l'usage auquel ils sont destinés. Ils ne doivent transmettre au produit aucune substance toxique, ni aucune odeur ou saveur indésirable.</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Lorsque le produit est emballé dans des sacs, ceux-ci doivent être propres, robustes et solidement cousus ou scellés.</w:t>
      </w:r>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 xml:space="preserve">Le poids net du colis ne doit pas être inférieur à celui indiqué sur l'emballage. </w:t>
      </w:r>
    </w:p>
    <w:p w:rsidR="008C7F3C" w:rsidRPr="0061020E" w:rsidRDefault="008C7F3C" w:rsidP="008F6018">
      <w:pPr>
        <w:spacing w:after="120" w:line="240" w:lineRule="auto"/>
        <w:jc w:val="both"/>
        <w:rPr>
          <w:rFonts w:ascii="Rockwell" w:hAnsi="Rockwell"/>
          <w:sz w:val="24"/>
          <w:szCs w:val="24"/>
        </w:rPr>
      </w:pPr>
      <w:bookmarkStart w:id="271" w:name="_Toc116962766"/>
      <w:r w:rsidRPr="0061020E">
        <w:rPr>
          <w:rFonts w:ascii="Rockwell" w:hAnsi="Rockwell"/>
          <w:sz w:val="24"/>
          <w:szCs w:val="24"/>
        </w:rPr>
        <w:t>Etiquetage</w:t>
      </w:r>
      <w:bookmarkEnd w:id="271"/>
    </w:p>
    <w:p w:rsidR="008C7F3C" w:rsidRPr="0061020E" w:rsidRDefault="008C7F3C" w:rsidP="008F6018">
      <w:pPr>
        <w:spacing w:after="120" w:line="240" w:lineRule="auto"/>
        <w:jc w:val="both"/>
        <w:rPr>
          <w:rFonts w:ascii="Rockwell" w:hAnsi="Rockwell"/>
          <w:b/>
          <w:i/>
          <w:iCs/>
          <w:color w:val="0000FF"/>
          <w:sz w:val="24"/>
          <w:szCs w:val="24"/>
        </w:rPr>
      </w:pPr>
      <w:bookmarkStart w:id="272" w:name="_Toc116962767"/>
      <w:r w:rsidRPr="0061020E">
        <w:rPr>
          <w:rFonts w:ascii="Rockwell" w:hAnsi="Rockwell"/>
          <w:b/>
          <w:bCs/>
          <w:i/>
          <w:iCs/>
          <w:sz w:val="24"/>
          <w:szCs w:val="24"/>
        </w:rPr>
        <w:t>Etiquetage des récipients destinés à la vente au détail</w:t>
      </w:r>
      <w:bookmarkEnd w:id="272"/>
    </w:p>
    <w:p w:rsidR="008C7F3C" w:rsidRPr="0061020E" w:rsidRDefault="008C7F3C" w:rsidP="008F6018">
      <w:pPr>
        <w:spacing w:after="120" w:line="240" w:lineRule="auto"/>
        <w:jc w:val="both"/>
        <w:rPr>
          <w:rFonts w:ascii="Rockwell" w:hAnsi="Rockwell"/>
          <w:color w:val="000000"/>
          <w:sz w:val="24"/>
          <w:szCs w:val="24"/>
        </w:rPr>
      </w:pPr>
      <w:r w:rsidRPr="0061020E">
        <w:rPr>
          <w:rFonts w:ascii="Rockwell" w:hAnsi="Rockwell"/>
          <w:color w:val="000000"/>
          <w:sz w:val="24"/>
          <w:szCs w:val="24"/>
        </w:rPr>
        <w:t>Les colis doivent porter, en caractères groupés sur une même face, lisibles, indélébiles et visibles de l'extérieur, les mentions suivantes :</w:t>
      </w:r>
    </w:p>
    <w:p w:rsidR="008C7F3C" w:rsidRPr="001A2726" w:rsidRDefault="008C7F3C" w:rsidP="008F6018">
      <w:pPr>
        <w:pStyle w:val="Paragraphedeliste"/>
        <w:numPr>
          <w:ilvl w:val="0"/>
          <w:numId w:val="4"/>
        </w:numPr>
        <w:spacing w:after="120" w:line="240" w:lineRule="auto"/>
        <w:jc w:val="both"/>
        <w:rPr>
          <w:rFonts w:ascii="Rockwell" w:hAnsi="Rockwell"/>
          <w:color w:val="000000"/>
          <w:sz w:val="24"/>
          <w:szCs w:val="24"/>
        </w:rPr>
      </w:pPr>
      <w:r w:rsidRPr="001A2726">
        <w:rPr>
          <w:rFonts w:ascii="Rockwell" w:hAnsi="Rockwell"/>
          <w:color w:val="000000"/>
          <w:sz w:val="24"/>
          <w:szCs w:val="24"/>
        </w:rPr>
        <w:t>le nom du producteur ou de l'exportateur ;</w:t>
      </w:r>
    </w:p>
    <w:p w:rsidR="008C7F3C" w:rsidRPr="001A2726" w:rsidRDefault="008C7F3C" w:rsidP="008F6018">
      <w:pPr>
        <w:pStyle w:val="Paragraphedeliste"/>
        <w:numPr>
          <w:ilvl w:val="0"/>
          <w:numId w:val="4"/>
        </w:numPr>
        <w:spacing w:after="120" w:line="240" w:lineRule="auto"/>
        <w:jc w:val="both"/>
        <w:rPr>
          <w:rFonts w:ascii="Rockwell" w:hAnsi="Rockwell"/>
          <w:color w:val="000000"/>
          <w:sz w:val="24"/>
          <w:szCs w:val="24"/>
        </w:rPr>
      </w:pPr>
      <w:r w:rsidRPr="001A2726">
        <w:rPr>
          <w:rFonts w:ascii="Rockwell" w:hAnsi="Rockwell"/>
          <w:color w:val="000000"/>
          <w:sz w:val="24"/>
          <w:szCs w:val="24"/>
        </w:rPr>
        <w:t>la mention "GRAINS DE MAÏS BLANC, JAUNE OU ROUGE DU BURKINA FASO" ou le pays d'origine ;</w:t>
      </w:r>
    </w:p>
    <w:p w:rsidR="008C7F3C" w:rsidRPr="001A2726" w:rsidRDefault="008C7F3C" w:rsidP="008F6018">
      <w:pPr>
        <w:pStyle w:val="Paragraphedeliste"/>
        <w:numPr>
          <w:ilvl w:val="0"/>
          <w:numId w:val="4"/>
        </w:numPr>
        <w:spacing w:after="120" w:line="240" w:lineRule="auto"/>
        <w:jc w:val="both"/>
        <w:rPr>
          <w:rFonts w:ascii="Rockwell" w:hAnsi="Rockwell"/>
          <w:color w:val="000000"/>
          <w:sz w:val="24"/>
          <w:szCs w:val="24"/>
        </w:rPr>
      </w:pPr>
      <w:r w:rsidRPr="001A2726">
        <w:rPr>
          <w:rFonts w:ascii="Rockwell" w:hAnsi="Rockwell"/>
          <w:color w:val="000000"/>
          <w:sz w:val="24"/>
          <w:szCs w:val="24"/>
        </w:rPr>
        <w:t>l’état des grains (entiers/décortiqués) ;</w:t>
      </w:r>
    </w:p>
    <w:p w:rsidR="008C7F3C" w:rsidRPr="001A2726" w:rsidRDefault="008C7F3C" w:rsidP="008F6018">
      <w:pPr>
        <w:pStyle w:val="Paragraphedeliste"/>
        <w:numPr>
          <w:ilvl w:val="0"/>
          <w:numId w:val="4"/>
        </w:numPr>
        <w:spacing w:after="120" w:line="240" w:lineRule="auto"/>
        <w:jc w:val="both"/>
        <w:rPr>
          <w:rFonts w:ascii="Rockwell" w:hAnsi="Rockwell"/>
          <w:color w:val="000000"/>
          <w:sz w:val="24"/>
          <w:szCs w:val="24"/>
        </w:rPr>
      </w:pPr>
      <w:r w:rsidRPr="001A2726">
        <w:rPr>
          <w:rFonts w:ascii="Rockwell" w:hAnsi="Rockwell"/>
          <w:color w:val="000000"/>
          <w:sz w:val="24"/>
          <w:szCs w:val="24"/>
        </w:rPr>
        <w:t>l'année de récolte ;</w:t>
      </w:r>
    </w:p>
    <w:p w:rsidR="008C7F3C" w:rsidRPr="001A2726" w:rsidRDefault="008C7F3C" w:rsidP="008F6018">
      <w:pPr>
        <w:pStyle w:val="Paragraphedeliste"/>
        <w:numPr>
          <w:ilvl w:val="0"/>
          <w:numId w:val="4"/>
        </w:numPr>
        <w:spacing w:after="120" w:line="240" w:lineRule="auto"/>
        <w:jc w:val="both"/>
        <w:rPr>
          <w:rFonts w:ascii="Rockwell" w:hAnsi="Rockwell"/>
          <w:color w:val="000000"/>
          <w:sz w:val="24"/>
          <w:szCs w:val="24"/>
        </w:rPr>
      </w:pPr>
      <w:r w:rsidRPr="001A2726">
        <w:rPr>
          <w:rFonts w:ascii="Rockwell" w:hAnsi="Rockwell"/>
          <w:color w:val="000000"/>
          <w:sz w:val="24"/>
          <w:szCs w:val="24"/>
        </w:rPr>
        <w:t>le poids net du colis en kg.</w:t>
      </w:r>
    </w:p>
    <w:p w:rsidR="008C7F3C" w:rsidRPr="0061020E" w:rsidRDefault="008C7F3C" w:rsidP="008F6018">
      <w:pPr>
        <w:spacing w:after="120" w:line="240" w:lineRule="auto"/>
        <w:jc w:val="both"/>
        <w:rPr>
          <w:rFonts w:ascii="Rockwell" w:hAnsi="Rockwell"/>
          <w:sz w:val="24"/>
          <w:szCs w:val="24"/>
        </w:rPr>
      </w:pPr>
    </w:p>
    <w:p w:rsidR="008C7F3C" w:rsidRPr="0061020E" w:rsidRDefault="008C7F3C" w:rsidP="008F6018">
      <w:pPr>
        <w:spacing w:after="120" w:line="240" w:lineRule="auto"/>
        <w:jc w:val="both"/>
        <w:rPr>
          <w:rFonts w:ascii="Rockwell" w:hAnsi="Rockwell"/>
          <w:b/>
          <w:i/>
          <w:iCs/>
          <w:sz w:val="24"/>
          <w:szCs w:val="24"/>
        </w:rPr>
      </w:pPr>
      <w:bookmarkStart w:id="273" w:name="_Toc116962768"/>
      <w:r w:rsidRPr="0061020E">
        <w:rPr>
          <w:rFonts w:ascii="Rockwell" w:hAnsi="Rockwell"/>
          <w:b/>
          <w:bCs/>
          <w:i/>
          <w:iCs/>
          <w:sz w:val="24"/>
          <w:szCs w:val="24"/>
        </w:rPr>
        <w:t>Etiquetage des récipients non destinés à la vente au détail</w:t>
      </w:r>
      <w:bookmarkEnd w:id="273"/>
    </w:p>
    <w:p w:rsidR="008C7F3C" w:rsidRDefault="008C7F3C" w:rsidP="008F6018">
      <w:pPr>
        <w:spacing w:after="120" w:line="240" w:lineRule="auto"/>
        <w:jc w:val="both"/>
        <w:rPr>
          <w:rFonts w:ascii="Rockwell" w:hAnsi="Rockwell"/>
          <w:sz w:val="24"/>
          <w:szCs w:val="24"/>
        </w:rPr>
      </w:pPr>
      <w:r w:rsidRPr="0061020E">
        <w:rPr>
          <w:rFonts w:ascii="Rockwell" w:hAnsi="Rockwell"/>
          <w:sz w:val="24"/>
          <w:szCs w:val="24"/>
        </w:rPr>
        <w:t>Les renseignements sur les récipients non destinés à la vente au détail doivent figurer soit sur le récipient, soit dans les documents d'accompagnement, exception faite du nom du produit, de l'identification du nom et de l'adresse du fabricant ou de l'emballeur qui doivent figurer sur le récipient. Cependant, l'identification du nom et l'adresse du fabricant ou de l'emballeur peuvent être remplacés par une marque d'identification, à condition que cette marque puisse être clairement identifiée</w:t>
      </w:r>
      <w:r w:rsidR="009E4715">
        <w:rPr>
          <w:rFonts w:ascii="Rockwell" w:hAnsi="Rockwell"/>
          <w:sz w:val="24"/>
          <w:szCs w:val="24"/>
        </w:rPr>
        <w:t>,</w:t>
      </w:r>
      <w:r w:rsidRPr="0061020E">
        <w:rPr>
          <w:rFonts w:ascii="Rockwell" w:hAnsi="Rockwell"/>
          <w:sz w:val="24"/>
          <w:szCs w:val="24"/>
        </w:rPr>
        <w:t xml:space="preserve"> à l'aide de documents d'accompagnement.</w:t>
      </w:r>
    </w:p>
    <w:p w:rsidR="001A2726" w:rsidRDefault="001A2726" w:rsidP="008F6018">
      <w:pPr>
        <w:spacing w:after="120" w:line="240" w:lineRule="auto"/>
        <w:jc w:val="both"/>
        <w:rPr>
          <w:rFonts w:ascii="Rockwell" w:hAnsi="Rockwell"/>
          <w:sz w:val="24"/>
          <w:szCs w:val="24"/>
        </w:rPr>
      </w:pPr>
    </w:p>
    <w:p w:rsidR="00985952" w:rsidRDefault="00985952" w:rsidP="008F6018">
      <w:pPr>
        <w:spacing w:after="120" w:line="240" w:lineRule="auto"/>
        <w:jc w:val="both"/>
        <w:rPr>
          <w:rFonts w:ascii="Rockwell" w:hAnsi="Rockwell"/>
          <w:sz w:val="24"/>
          <w:szCs w:val="24"/>
        </w:rPr>
      </w:pPr>
    </w:p>
    <w:p w:rsidR="00985952" w:rsidRDefault="00985952" w:rsidP="008F6018">
      <w:pPr>
        <w:spacing w:after="120" w:line="240" w:lineRule="auto"/>
        <w:jc w:val="both"/>
        <w:rPr>
          <w:rFonts w:ascii="Rockwell" w:hAnsi="Rockwell"/>
          <w:sz w:val="24"/>
          <w:szCs w:val="24"/>
        </w:rPr>
      </w:pPr>
    </w:p>
    <w:p w:rsidR="008C7F3C" w:rsidRPr="00985952" w:rsidRDefault="00985952" w:rsidP="008F6018">
      <w:pPr>
        <w:pStyle w:val="Titre3"/>
        <w:numPr>
          <w:ilvl w:val="0"/>
          <w:numId w:val="98"/>
        </w:numPr>
        <w:spacing w:before="0" w:after="120" w:line="240" w:lineRule="auto"/>
        <w:jc w:val="both"/>
        <w:rPr>
          <w:rFonts w:ascii="Rockwell" w:hAnsi="Rockwell"/>
          <w:color w:val="auto"/>
          <w:sz w:val="24"/>
          <w:szCs w:val="24"/>
        </w:rPr>
      </w:pPr>
      <w:bookmarkStart w:id="274" w:name="_Toc505063311"/>
      <w:r w:rsidRPr="00985952">
        <w:rPr>
          <w:rFonts w:ascii="Rockwell" w:hAnsi="Rockwell"/>
          <w:color w:val="auto"/>
          <w:sz w:val="24"/>
          <w:szCs w:val="24"/>
        </w:rPr>
        <w:t>Le</w:t>
      </w:r>
      <w:r w:rsidR="00861D4B" w:rsidRPr="00985952">
        <w:rPr>
          <w:rFonts w:ascii="Rockwell" w:hAnsi="Rockwell"/>
          <w:color w:val="auto"/>
          <w:sz w:val="24"/>
          <w:szCs w:val="24"/>
        </w:rPr>
        <w:t xml:space="preserve"> </w:t>
      </w:r>
      <w:r w:rsidR="008C7F3C" w:rsidRPr="00985952">
        <w:rPr>
          <w:rFonts w:ascii="Rockwell" w:hAnsi="Rockwell"/>
          <w:color w:val="auto"/>
          <w:sz w:val="24"/>
          <w:szCs w:val="24"/>
        </w:rPr>
        <w:t xml:space="preserve"> niébé</w:t>
      </w:r>
      <w:bookmarkEnd w:id="274"/>
      <w:r w:rsidR="008C7F3C" w:rsidRPr="00985952">
        <w:rPr>
          <w:rFonts w:ascii="Rockwell" w:hAnsi="Rockwell"/>
          <w:color w:val="auto"/>
          <w:sz w:val="24"/>
          <w:szCs w:val="24"/>
        </w:rPr>
        <w:t xml:space="preserve"> </w:t>
      </w:r>
    </w:p>
    <w:p w:rsidR="008C7F3C" w:rsidRPr="0061020E" w:rsidRDefault="00927983"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 xml:space="preserve">Caractéristiques de qualité </w:t>
      </w: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Caractéristiques minimales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toutes les catégories, sous réserve des dispositions propres à chaque catégorie et des tolérances admises, les graines de niébé doivent présenter les caractéristiques minimales suivantes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saines ; sont exclues les graines présentant des signes de pourriture ou des altérations de nature à les rendre impropres à la consommation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exemptes de toute odeur et/ou saveur étrangère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suffisamment développées et parvenues à un degré de maturité satisfaisant, en fonction de la variété ;</w:t>
      </w:r>
    </w:p>
    <w:p w:rsidR="008C7F3C" w:rsidRPr="00E20DA7" w:rsidRDefault="008C7F3C" w:rsidP="008F6018">
      <w:pPr>
        <w:pStyle w:val="Paragraphedeliste"/>
        <w:numPr>
          <w:ilvl w:val="0"/>
          <w:numId w:val="4"/>
        </w:numPr>
        <w:spacing w:after="120" w:line="240" w:lineRule="auto"/>
        <w:jc w:val="both"/>
        <w:rPr>
          <w:rFonts w:ascii="Rockwell" w:hAnsi="Rockwell"/>
          <w:sz w:val="24"/>
          <w:szCs w:val="24"/>
        </w:rPr>
      </w:pPr>
      <w:r w:rsidRPr="00E20DA7">
        <w:rPr>
          <w:rFonts w:ascii="Rockwell" w:hAnsi="Rockwell"/>
          <w:sz w:val="24"/>
          <w:szCs w:val="24"/>
        </w:rPr>
        <w:t xml:space="preserve">teneur en eau : </w:t>
      </w:r>
      <w:r w:rsidRPr="0061020E">
        <w:sym w:font="Symbol" w:char="F0A3"/>
      </w:r>
      <w:r w:rsidRPr="00E20DA7">
        <w:rPr>
          <w:rFonts w:ascii="Rockwell" w:hAnsi="Rockwell"/>
          <w:sz w:val="24"/>
          <w:szCs w:val="24"/>
        </w:rPr>
        <w:t xml:space="preserve"> 12%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lastRenderedPageBreak/>
        <w:t>matières étrangères : ≤1% dont 0,25% au plus d’origine minérale et 0,10% au plus d’insectes morts, de fragments ou débris d’insectes et/ou d’autres impuretés d’origine animale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poids de cent graines compris entre 10 et 25 grammes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présentant des défauts graves : ≤ 1%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présentant des défauts légers : ≤ 7%  dont 3% au plus sont constitués de graines brisées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de même couleur</w:t>
      </w:r>
      <w:r w:rsidR="009E4715">
        <w:rPr>
          <w:rFonts w:ascii="Rockwell" w:hAnsi="Rockwell"/>
          <w:sz w:val="24"/>
          <w:szCs w:val="24"/>
          <w:lang w:val="fr-CA"/>
        </w:rPr>
        <w:t>,</w:t>
      </w:r>
      <w:r w:rsidRPr="00E20DA7">
        <w:rPr>
          <w:rFonts w:ascii="Rockwell" w:hAnsi="Rockwell"/>
          <w:sz w:val="24"/>
          <w:szCs w:val="24"/>
          <w:lang w:val="fr-CA"/>
        </w:rPr>
        <w:t xml:space="preserve"> mais appartenant à des variétés commerciales différentes: ≤ 3%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 xml:space="preserve"> de couleur différente (autres que les graines décolorée) : ≤ 6%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décolorées appartenant à la même variété commerciale: ≤ 10%.</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présence d’insectes vivants n’est pas tolérée.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graines de niébé doivent être suffisamment en bon état pour supporter des conditions de transport et de manutention, et parvenir à leur lieu de destination</w:t>
      </w:r>
      <w:r w:rsidR="009E4715">
        <w:rPr>
          <w:rFonts w:ascii="Rockwell" w:hAnsi="Rockwell"/>
          <w:sz w:val="24"/>
          <w:szCs w:val="24"/>
          <w:lang w:val="fr-CA"/>
        </w:rPr>
        <w:t>,</w:t>
      </w:r>
      <w:r w:rsidRPr="0061020E">
        <w:rPr>
          <w:rFonts w:ascii="Rockwell" w:hAnsi="Rockwell"/>
          <w:sz w:val="24"/>
          <w:szCs w:val="24"/>
          <w:lang w:val="fr-CA"/>
        </w:rPr>
        <w:t xml:space="preserve"> sous un aspect satisfaisant.</w:t>
      </w:r>
    </w:p>
    <w:p w:rsidR="00C27BEE" w:rsidRDefault="00C27BEE" w:rsidP="008F6018">
      <w:pPr>
        <w:spacing w:after="120" w:line="240" w:lineRule="auto"/>
        <w:jc w:val="both"/>
        <w:rPr>
          <w:rFonts w:ascii="Rockwell" w:hAnsi="Rockwell"/>
          <w:b/>
          <w:bCs/>
          <w:sz w:val="24"/>
          <w:szCs w:val="24"/>
          <w:lang w:val="fr-CA"/>
        </w:rPr>
      </w:pP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 xml:space="preserve">Classification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La classification dans le cadre des achats publics, et conformément à la norme </w:t>
      </w:r>
      <w:r w:rsidR="009E4715">
        <w:rPr>
          <w:rFonts w:ascii="Rockwell" w:hAnsi="Rockwell"/>
          <w:sz w:val="24"/>
          <w:szCs w:val="24"/>
          <w:lang w:val="fr-CA"/>
        </w:rPr>
        <w:t>b</w:t>
      </w:r>
      <w:r w:rsidRPr="0061020E">
        <w:rPr>
          <w:rFonts w:ascii="Rockwell" w:hAnsi="Rockwell"/>
          <w:sz w:val="24"/>
          <w:szCs w:val="24"/>
          <w:lang w:val="fr-CA"/>
        </w:rPr>
        <w:t>urkinab</w:t>
      </w:r>
      <w:r w:rsidR="009E4715">
        <w:rPr>
          <w:rFonts w:ascii="Rockwell" w:hAnsi="Rockwell"/>
          <w:sz w:val="24"/>
          <w:szCs w:val="24"/>
          <w:lang w:val="fr-CA"/>
        </w:rPr>
        <w:t>è</w:t>
      </w:r>
      <w:r w:rsidRPr="0061020E">
        <w:rPr>
          <w:rFonts w:ascii="Rockwell" w:hAnsi="Rockwell"/>
          <w:sz w:val="24"/>
          <w:szCs w:val="24"/>
          <w:lang w:val="fr-CA"/>
        </w:rPr>
        <w:t>, est définie ci-après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Catégorie </w:t>
      </w:r>
      <w:r w:rsidRPr="0061020E">
        <w:rPr>
          <w:rFonts w:ascii="Times New Roman" w:hAnsi="Times New Roman" w:cs="Times New Roman"/>
          <w:sz w:val="24"/>
          <w:szCs w:val="24"/>
          <w:lang w:val="fr-CA"/>
        </w:rPr>
        <w:t>″</w:t>
      </w:r>
      <w:r w:rsidRPr="0061020E">
        <w:rPr>
          <w:rFonts w:ascii="Rockwell" w:hAnsi="Rockwell"/>
          <w:sz w:val="24"/>
          <w:szCs w:val="24"/>
          <w:lang w:val="fr-CA"/>
        </w:rPr>
        <w:t>Extra</w:t>
      </w:r>
      <w:r w:rsidRPr="0061020E">
        <w:rPr>
          <w:rFonts w:ascii="Times New Roman" w:hAnsi="Times New Roman" w:cs="Times New Roman"/>
          <w:sz w:val="24"/>
          <w:szCs w:val="24"/>
          <w:lang w:val="fr-CA"/>
        </w:rPr>
        <w: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graines de niébé de cette catégorie doivent être de qualité supérieure ; elles doivent présenter les caractéristiques suivantes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rPr>
      </w:pPr>
      <w:r w:rsidRPr="00E20DA7">
        <w:rPr>
          <w:rFonts w:ascii="Rockwell" w:hAnsi="Rockwell"/>
          <w:sz w:val="24"/>
          <w:szCs w:val="24"/>
        </w:rPr>
        <w:t>entières, saines, bien propres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rPr>
      </w:pPr>
      <w:r w:rsidRPr="00E20DA7">
        <w:rPr>
          <w:rFonts w:ascii="Rockwell" w:hAnsi="Rockwell"/>
          <w:sz w:val="24"/>
          <w:szCs w:val="24"/>
        </w:rPr>
        <w:t>de couleur uniforme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pratiquement exemptes de matières étrangères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de la même variété commerciale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un poids de cent graines supérieur à 20 grammes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exemptes de tout défaut</w:t>
      </w:r>
      <w:r w:rsidR="009E4715">
        <w:rPr>
          <w:rFonts w:ascii="Rockwell" w:hAnsi="Rockwell"/>
          <w:sz w:val="24"/>
          <w:szCs w:val="24"/>
          <w:lang w:val="fr-CA"/>
        </w:rPr>
        <w:t>,</w:t>
      </w:r>
      <w:r w:rsidRPr="00E20DA7">
        <w:rPr>
          <w:rFonts w:ascii="Rockwell" w:hAnsi="Rockwell"/>
          <w:sz w:val="24"/>
          <w:szCs w:val="24"/>
          <w:lang w:val="fr-CA"/>
        </w:rPr>
        <w:t xml:space="preserve"> y compris toute décoloration.</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Elles doivent avoir une présentation bien soignée.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Catégorie </w:t>
      </w:r>
      <w:r w:rsidRPr="0061020E">
        <w:rPr>
          <w:rFonts w:ascii="Times New Roman" w:hAnsi="Times New Roman" w:cs="Times New Roman"/>
          <w:sz w:val="24"/>
          <w:szCs w:val="24"/>
          <w:lang w:val="fr-CA"/>
        </w:rPr>
        <w:t>″</w:t>
      </w:r>
      <w:r w:rsidRPr="0061020E">
        <w:rPr>
          <w:rFonts w:ascii="Rockwell" w:hAnsi="Rockwell"/>
          <w:sz w:val="24"/>
          <w:szCs w:val="24"/>
          <w:lang w:val="fr-CA"/>
        </w:rPr>
        <w:t>I</w:t>
      </w:r>
      <w:r w:rsidRPr="0061020E">
        <w:rPr>
          <w:rFonts w:ascii="Times New Roman" w:hAnsi="Times New Roman" w:cs="Times New Roman"/>
          <w:sz w:val="24"/>
          <w:szCs w:val="24"/>
          <w:lang w:val="fr-CA"/>
        </w:rPr>
        <w: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Les haricots  appartenant à cette catégorie doivent être de bonne qualité; elles doivent présenter les caractéristiques suivantes :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 xml:space="preserve"> de cent graines compris entre 15 et 20 grammes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 xml:space="preserve">matières étrangères : ≤1% dont 0,25% au plus d’origine minérale et 0,10% au plus d’insectes morts, de fragments ou </w:t>
      </w:r>
      <w:r w:rsidR="000029EB" w:rsidRPr="00E20DA7">
        <w:rPr>
          <w:rFonts w:ascii="Rockwell" w:hAnsi="Rockwell"/>
          <w:sz w:val="24"/>
          <w:szCs w:val="24"/>
          <w:lang w:val="fr-CA"/>
        </w:rPr>
        <w:t>débris</w:t>
      </w:r>
      <w:r w:rsidRPr="00E20DA7">
        <w:rPr>
          <w:rFonts w:ascii="Rockwell" w:hAnsi="Rockwell"/>
          <w:sz w:val="24"/>
          <w:szCs w:val="24"/>
          <w:lang w:val="fr-CA"/>
        </w:rPr>
        <w:t xml:space="preserve"> d’insectes et/ou d’autres </w:t>
      </w:r>
      <w:r w:rsidR="000029EB" w:rsidRPr="00E20DA7">
        <w:rPr>
          <w:rFonts w:ascii="Rockwell" w:hAnsi="Rockwell"/>
          <w:sz w:val="24"/>
          <w:szCs w:val="24"/>
          <w:lang w:val="fr-CA"/>
        </w:rPr>
        <w:t>impuretés</w:t>
      </w:r>
      <w:r w:rsidRPr="00E20DA7">
        <w:rPr>
          <w:rFonts w:ascii="Rockwell" w:hAnsi="Rockwell"/>
          <w:sz w:val="24"/>
          <w:szCs w:val="24"/>
          <w:lang w:val="fr-CA"/>
        </w:rPr>
        <w:t xml:space="preserve"> d’origine animale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présentant des défauts légers : ≤ 7%  dont 1% au plus sont constitués de graines brisées ;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de même couleur</w:t>
      </w:r>
      <w:r w:rsidR="009E4715">
        <w:rPr>
          <w:rFonts w:ascii="Rockwell" w:hAnsi="Rockwell"/>
          <w:sz w:val="24"/>
          <w:szCs w:val="24"/>
          <w:lang w:val="fr-CA"/>
        </w:rPr>
        <w:t>,</w:t>
      </w:r>
      <w:r w:rsidRPr="00E20DA7">
        <w:rPr>
          <w:rFonts w:ascii="Rockwell" w:hAnsi="Rockwell"/>
          <w:sz w:val="24"/>
          <w:szCs w:val="24"/>
          <w:lang w:val="fr-CA"/>
        </w:rPr>
        <w:t xml:space="preserve"> mais de variétés commerciale différente: ≤ 2%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de couleur différente (autre que les graines décolorées) : ≤ 4%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décolorées appartenant à la même variété commerciale : ≤ 5%.</w:t>
      </w:r>
    </w:p>
    <w:p w:rsidR="008C7F3C" w:rsidRPr="0061020E" w:rsidRDefault="008C7F3C"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Catégorie </w:t>
      </w:r>
      <w:r w:rsidRPr="0061020E">
        <w:rPr>
          <w:rFonts w:ascii="Times New Roman" w:hAnsi="Times New Roman" w:cs="Times New Roman"/>
          <w:sz w:val="24"/>
          <w:szCs w:val="24"/>
          <w:lang w:val="fr-CA"/>
        </w:rPr>
        <w:t>″</w:t>
      </w:r>
      <w:r w:rsidRPr="0061020E">
        <w:rPr>
          <w:rFonts w:ascii="Rockwell" w:hAnsi="Rockwell"/>
          <w:sz w:val="24"/>
          <w:szCs w:val="24"/>
          <w:lang w:val="fr-CA"/>
        </w:rPr>
        <w:t>II</w:t>
      </w:r>
      <w:r w:rsidRPr="0061020E">
        <w:rPr>
          <w:rFonts w:ascii="Times New Roman" w:hAnsi="Times New Roman" w:cs="Times New Roman"/>
          <w:sz w:val="24"/>
          <w:szCs w:val="24"/>
          <w:lang w:val="fr-CA"/>
        </w:rPr>
        <w: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Cette catégorie comporte les graines de niébé qui ne peuvent être classées dans les catégories supérieures, mais qui satisfont aux spécifications minimales définies au point « caractéristiques minimales ». Il est admis dans cette catégorie</w:t>
      </w:r>
      <w:r w:rsidR="009E4715">
        <w:rPr>
          <w:rFonts w:ascii="Rockwell" w:hAnsi="Rockwell"/>
          <w:sz w:val="24"/>
          <w:szCs w:val="24"/>
          <w:lang w:val="fr-CA"/>
        </w:rPr>
        <w:t>,</w:t>
      </w:r>
      <w:r w:rsidRPr="0061020E">
        <w:rPr>
          <w:rFonts w:ascii="Rockwell" w:hAnsi="Rockwell"/>
          <w:sz w:val="24"/>
          <w:szCs w:val="24"/>
          <w:lang w:val="fr-CA"/>
        </w:rPr>
        <w:t xml:space="preserve"> des graines présentant de légers défauts dont le cumul est susceptible d’affecter sensiblement </w:t>
      </w:r>
      <w:r w:rsidRPr="0061020E">
        <w:rPr>
          <w:rFonts w:ascii="Rockwell" w:hAnsi="Rockwell"/>
          <w:sz w:val="24"/>
          <w:szCs w:val="24"/>
          <w:lang w:val="fr-CA"/>
        </w:rPr>
        <w:lastRenderedPageBreak/>
        <w:t>leur aspect général, leur aptitude à la conservation, tout en gardant intacte leur comestibilité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poids de cent graines compris entre 10 et 15 grammes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des marques légères résultant d’attaques parasitaires;</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 xml:space="preserve">matières étrangères : ≤1% dont 0,25% au plus d’origine minérale et 0,10% au plus d’insectes morts, de fragments ou </w:t>
      </w:r>
      <w:r w:rsidR="000029EB" w:rsidRPr="00E20DA7">
        <w:rPr>
          <w:rFonts w:ascii="Rockwell" w:hAnsi="Rockwell"/>
          <w:sz w:val="24"/>
          <w:szCs w:val="24"/>
          <w:lang w:val="fr-CA"/>
        </w:rPr>
        <w:t>débris</w:t>
      </w:r>
      <w:r w:rsidRPr="00E20DA7">
        <w:rPr>
          <w:rFonts w:ascii="Rockwell" w:hAnsi="Rockwell"/>
          <w:sz w:val="24"/>
          <w:szCs w:val="24"/>
          <w:lang w:val="fr-CA"/>
        </w:rPr>
        <w:t xml:space="preserve"> d’insectes et/ou d’autres </w:t>
      </w:r>
      <w:r w:rsidR="000029EB" w:rsidRPr="00E20DA7">
        <w:rPr>
          <w:rFonts w:ascii="Rockwell" w:hAnsi="Rockwell"/>
          <w:sz w:val="24"/>
          <w:szCs w:val="24"/>
          <w:lang w:val="fr-CA"/>
        </w:rPr>
        <w:t>impuretés</w:t>
      </w:r>
      <w:r w:rsidRPr="00E20DA7">
        <w:rPr>
          <w:rFonts w:ascii="Rockwell" w:hAnsi="Rockwell"/>
          <w:sz w:val="24"/>
          <w:szCs w:val="24"/>
          <w:lang w:val="fr-CA"/>
        </w:rPr>
        <w:t xml:space="preserve"> d’origine animale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présentant des défauts graves : ≤ 1%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présentant des défauts légers : ≤ 7% dont 3% au plus sont constitués de graines brisées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de même couleur</w:t>
      </w:r>
      <w:r w:rsidR="009E4715">
        <w:rPr>
          <w:rFonts w:ascii="Rockwell" w:hAnsi="Rockwell"/>
          <w:sz w:val="24"/>
          <w:szCs w:val="24"/>
          <w:lang w:val="fr-CA"/>
        </w:rPr>
        <w:t>,</w:t>
      </w:r>
      <w:r w:rsidRPr="00E20DA7">
        <w:rPr>
          <w:rFonts w:ascii="Rockwell" w:hAnsi="Rockwell"/>
          <w:sz w:val="24"/>
          <w:szCs w:val="24"/>
          <w:lang w:val="fr-CA"/>
        </w:rPr>
        <w:t xml:space="preserve"> mais appartenant à des variétés commerciales différentes: ≤ 3%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de couleur différente (autre que les graines décolorée) : ≤ 6%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graines décolorées appartenant à la même variété commerciale : ≤ 10% ;</w:t>
      </w:r>
    </w:p>
    <w:p w:rsidR="008C7F3C" w:rsidRPr="0061020E" w:rsidRDefault="008C7F3C" w:rsidP="008F6018">
      <w:pPr>
        <w:spacing w:after="120" w:line="240" w:lineRule="auto"/>
        <w:jc w:val="both"/>
        <w:rPr>
          <w:rFonts w:ascii="Rockwell" w:hAnsi="Rockwell"/>
          <w:sz w:val="24"/>
          <w:szCs w:val="24"/>
          <w:lang w:val="fr-CA"/>
        </w:rPr>
      </w:pPr>
    </w:p>
    <w:p w:rsidR="008C7F3C" w:rsidRPr="0061020E" w:rsidRDefault="00927983"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Tolérances de qualité</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Des tolérances de qualité sont admises dans chaque colis</w:t>
      </w:r>
      <w:r w:rsidR="009E4715">
        <w:rPr>
          <w:rFonts w:ascii="Rockwell" w:hAnsi="Rockwell"/>
          <w:sz w:val="24"/>
          <w:szCs w:val="24"/>
          <w:lang w:val="fr-CA"/>
        </w:rPr>
        <w:t>,</w:t>
      </w:r>
      <w:r w:rsidRPr="0061020E">
        <w:rPr>
          <w:rFonts w:ascii="Rockwell" w:hAnsi="Rockwell"/>
          <w:sz w:val="24"/>
          <w:szCs w:val="24"/>
          <w:lang w:val="fr-CA"/>
        </w:rPr>
        <w:t xml:space="preserve"> suivant la catégorie pour les graines non conformes à la catégorie donnée.</w:t>
      </w: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Catégorie ’’EXTRA’’</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est toléré au maximum 5 % en masse de graines ne répondant pas aux critères prévus pour la catégorie  ‘’EXTRA’’, mais répondant à ceux de la catégorie I.</w:t>
      </w: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Catégorie I</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est toléré au maximum 10 % en masse de graines de niébé ne répondant pas aux critères prévus pour la catégorie I</w:t>
      </w:r>
      <w:r w:rsidR="009E4715">
        <w:rPr>
          <w:rFonts w:ascii="Rockwell" w:hAnsi="Rockwell"/>
          <w:sz w:val="24"/>
          <w:szCs w:val="24"/>
          <w:lang w:val="fr-CA"/>
        </w:rPr>
        <w:t>,</w:t>
      </w:r>
      <w:r w:rsidRPr="0061020E">
        <w:rPr>
          <w:rFonts w:ascii="Rockwell" w:hAnsi="Rockwell"/>
          <w:sz w:val="24"/>
          <w:szCs w:val="24"/>
          <w:lang w:val="fr-CA"/>
        </w:rPr>
        <w:t xml:space="preserve"> mais répondant à ceux de la catégorie II.</w:t>
      </w: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Catégorie II</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est toléré au maximum 15 % en masse de graines de niébé ne répondant pas aux critères prévus pour la catégorie II</w:t>
      </w:r>
      <w:r w:rsidR="009E4715">
        <w:rPr>
          <w:rFonts w:ascii="Rockwell" w:hAnsi="Rockwell"/>
          <w:sz w:val="24"/>
          <w:szCs w:val="24"/>
          <w:lang w:val="fr-CA"/>
        </w:rPr>
        <w:t>,</w:t>
      </w:r>
      <w:r w:rsidRPr="0061020E">
        <w:rPr>
          <w:rFonts w:ascii="Rockwell" w:hAnsi="Rockwell"/>
          <w:sz w:val="24"/>
          <w:szCs w:val="24"/>
          <w:lang w:val="fr-CA"/>
        </w:rPr>
        <w:t xml:space="preserve"> mais qui respectent les caractéristiques minimales.</w:t>
      </w:r>
    </w:p>
    <w:p w:rsidR="00440898" w:rsidRDefault="00440898" w:rsidP="008F6018">
      <w:pPr>
        <w:spacing w:after="120" w:line="240" w:lineRule="auto"/>
        <w:jc w:val="both"/>
        <w:rPr>
          <w:rFonts w:ascii="Rockwell" w:hAnsi="Rockwell"/>
          <w:b/>
          <w:bCs/>
          <w:sz w:val="24"/>
          <w:szCs w:val="24"/>
          <w:lang w:val="fr-CA"/>
        </w:rPr>
      </w:pPr>
    </w:p>
    <w:p w:rsidR="00440898" w:rsidRDefault="00440898" w:rsidP="008F6018">
      <w:pPr>
        <w:spacing w:after="120" w:line="240" w:lineRule="auto"/>
        <w:jc w:val="both"/>
        <w:rPr>
          <w:rFonts w:ascii="Rockwell" w:hAnsi="Rockwell"/>
          <w:b/>
          <w:bCs/>
          <w:sz w:val="24"/>
          <w:szCs w:val="24"/>
          <w:lang w:val="fr-CA"/>
        </w:rPr>
      </w:pPr>
    </w:p>
    <w:p w:rsidR="00440898" w:rsidRDefault="00440898" w:rsidP="008F6018">
      <w:pPr>
        <w:spacing w:after="120" w:line="240" w:lineRule="auto"/>
        <w:jc w:val="both"/>
        <w:rPr>
          <w:rFonts w:ascii="Rockwell" w:hAnsi="Rockwell"/>
          <w:b/>
          <w:bCs/>
          <w:sz w:val="24"/>
          <w:szCs w:val="24"/>
          <w:lang w:val="fr-CA"/>
        </w:rPr>
      </w:pPr>
    </w:p>
    <w:p w:rsidR="008C7F3C" w:rsidRPr="0061020E" w:rsidRDefault="00927983" w:rsidP="008F6018">
      <w:pPr>
        <w:spacing w:after="120" w:line="240" w:lineRule="auto"/>
        <w:jc w:val="both"/>
        <w:rPr>
          <w:rFonts w:ascii="Rockwell" w:hAnsi="Rockwell"/>
          <w:sz w:val="24"/>
          <w:szCs w:val="24"/>
          <w:lang w:val="fr-CA"/>
        </w:rPr>
      </w:pPr>
      <w:r w:rsidRPr="0061020E">
        <w:rPr>
          <w:rFonts w:ascii="Rockwell" w:hAnsi="Rockwell"/>
          <w:b/>
          <w:bCs/>
          <w:sz w:val="24"/>
          <w:szCs w:val="24"/>
          <w:lang w:val="fr-CA"/>
        </w:rPr>
        <w:t>Conditionnement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graines de niébé doivent être emballées dans des récipients préservant les qualités hygiéniques, nutritionnelles, technologiques et organoleptiques du produit.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récipients, y compris les matériaux d’emballage, doivent être fabriqués avec des matériaux sans danger et convenant à l’usage auquel ils sont destinés. Ils ne doivent communiquer ou transmettre au produit aucune substance toxique, ni aucune odeur ou saveur indésirable.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Lorsque les graines de niébé sont emballés dans des sacs en polypropylène ou dans </w:t>
      </w:r>
      <w:r w:rsidR="009E4715">
        <w:rPr>
          <w:rFonts w:ascii="Rockwell" w:hAnsi="Rockwell"/>
          <w:sz w:val="24"/>
          <w:szCs w:val="24"/>
          <w:lang w:val="fr-CA"/>
        </w:rPr>
        <w:t>un</w:t>
      </w:r>
      <w:r w:rsidRPr="0061020E">
        <w:rPr>
          <w:rFonts w:ascii="Rockwell" w:hAnsi="Rockwell"/>
          <w:sz w:val="24"/>
          <w:szCs w:val="24"/>
          <w:lang w:val="fr-CA"/>
        </w:rPr>
        <w:t xml:space="preserve"> plastique</w:t>
      </w:r>
      <w:r w:rsidR="009E4715" w:rsidRPr="009E4715">
        <w:rPr>
          <w:rFonts w:ascii="Rockwell" w:hAnsi="Rockwell"/>
          <w:sz w:val="24"/>
          <w:szCs w:val="24"/>
          <w:lang w:val="fr-CA"/>
        </w:rPr>
        <w:t xml:space="preserve"> </w:t>
      </w:r>
      <w:r w:rsidR="009E4715" w:rsidRPr="0061020E">
        <w:rPr>
          <w:rFonts w:ascii="Rockwell" w:hAnsi="Rockwell"/>
          <w:sz w:val="24"/>
          <w:szCs w:val="24"/>
          <w:lang w:val="fr-CA"/>
        </w:rPr>
        <w:t>doubl</w:t>
      </w:r>
      <w:r w:rsidR="009E4715">
        <w:rPr>
          <w:rFonts w:ascii="Rockwell" w:hAnsi="Rockwell"/>
          <w:sz w:val="24"/>
          <w:szCs w:val="24"/>
          <w:lang w:val="fr-CA"/>
        </w:rPr>
        <w:t>é</w:t>
      </w:r>
      <w:r w:rsidRPr="0061020E">
        <w:rPr>
          <w:rFonts w:ascii="Rockwell" w:hAnsi="Rockwell"/>
          <w:sz w:val="24"/>
          <w:szCs w:val="24"/>
          <w:lang w:val="fr-CA"/>
        </w:rPr>
        <w:t>, ceux-ci doivent être propres, robustes et solidement cousus ou scellés et offrir des garanties suffisantes de résistance et de solidité</w:t>
      </w:r>
      <w:r w:rsidR="009E4715">
        <w:rPr>
          <w:rFonts w:ascii="Rockwell" w:hAnsi="Rockwell"/>
          <w:sz w:val="24"/>
          <w:szCs w:val="24"/>
          <w:lang w:val="fr-CA"/>
        </w:rPr>
        <w:t>,</w:t>
      </w:r>
      <w:r w:rsidRPr="0061020E">
        <w:rPr>
          <w:rFonts w:ascii="Rockwell" w:hAnsi="Rockwell"/>
          <w:sz w:val="24"/>
          <w:szCs w:val="24"/>
          <w:lang w:val="fr-CA"/>
        </w:rPr>
        <w:t xml:space="preserve"> notamment pour assurer une bonne protection aux graines</w:t>
      </w:r>
      <w:r w:rsidR="009E4715">
        <w:rPr>
          <w:rFonts w:ascii="Rockwell" w:hAnsi="Rockwell"/>
          <w:sz w:val="24"/>
          <w:szCs w:val="24"/>
          <w:lang w:val="fr-CA"/>
        </w:rPr>
        <w:t>,</w:t>
      </w:r>
      <w:r w:rsidRPr="0061020E">
        <w:rPr>
          <w:rFonts w:ascii="Rockwell" w:hAnsi="Rockwell"/>
          <w:sz w:val="24"/>
          <w:szCs w:val="24"/>
          <w:lang w:val="fr-CA"/>
        </w:rPr>
        <w:t xml:space="preserve"> au cours des opérations de manutention et transport.</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Tout accessoire utilisé à l’intérieur des emballages doit être neuf et non nocif </w:t>
      </w:r>
      <w:r w:rsidR="009E4715">
        <w:rPr>
          <w:rFonts w:ascii="Rockwell" w:hAnsi="Rockwell"/>
          <w:sz w:val="24"/>
          <w:szCs w:val="24"/>
          <w:lang w:val="fr-CA"/>
        </w:rPr>
        <w:t xml:space="preserve">à </w:t>
      </w:r>
      <w:r w:rsidRPr="0061020E">
        <w:rPr>
          <w:rFonts w:ascii="Rockwell" w:hAnsi="Rockwell"/>
          <w:sz w:val="24"/>
          <w:szCs w:val="24"/>
          <w:lang w:val="fr-CA"/>
        </w:rPr>
        <w:t xml:space="preserve">l’alimentation humaine. Dans le cas où il porte des mentions imprimées, celles-ci ne </w:t>
      </w:r>
      <w:r w:rsidRPr="0061020E">
        <w:rPr>
          <w:rFonts w:ascii="Rockwell" w:hAnsi="Rockwell"/>
          <w:sz w:val="24"/>
          <w:szCs w:val="24"/>
          <w:lang w:val="fr-CA"/>
        </w:rPr>
        <w:lastRenderedPageBreak/>
        <w:t>doivent figurer que sur la face extérieure</w:t>
      </w:r>
      <w:r w:rsidR="009E4715">
        <w:rPr>
          <w:rFonts w:ascii="Rockwell" w:hAnsi="Rockwell"/>
          <w:sz w:val="24"/>
          <w:szCs w:val="24"/>
          <w:lang w:val="fr-CA"/>
        </w:rPr>
        <w:t>,</w:t>
      </w:r>
      <w:r w:rsidRPr="0061020E">
        <w:rPr>
          <w:rFonts w:ascii="Rockwell" w:hAnsi="Rockwell"/>
          <w:sz w:val="24"/>
          <w:szCs w:val="24"/>
          <w:lang w:val="fr-CA"/>
        </w:rPr>
        <w:t xml:space="preserve"> de façon à ne pas se trouver en contact direct avec les graines.</w:t>
      </w:r>
    </w:p>
    <w:p w:rsidR="00927983" w:rsidRPr="0061020E" w:rsidRDefault="00927983" w:rsidP="008F6018">
      <w:pPr>
        <w:spacing w:after="120" w:line="240" w:lineRule="auto"/>
        <w:jc w:val="both"/>
        <w:rPr>
          <w:rFonts w:ascii="Rockwell" w:hAnsi="Rockwell"/>
          <w:sz w:val="24"/>
          <w:szCs w:val="24"/>
          <w:lang w:val="fr-CA"/>
        </w:rPr>
      </w:pPr>
    </w:p>
    <w:p w:rsidR="008C7F3C" w:rsidRPr="0061020E" w:rsidRDefault="00927983"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Marquage ou étiquetage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colis  doivent porter, en caractères groupés sur une même face, lisibles, indélébiles et visibles de l’extérieur, les mentions suivantes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la mention « niébé du Burkina Faso » ou le pays d’origine ;</w:t>
      </w:r>
    </w:p>
    <w:p w:rsidR="008C7F3C" w:rsidRPr="00E20DA7" w:rsidRDefault="008C7F3C" w:rsidP="008F6018">
      <w:pPr>
        <w:pStyle w:val="Paragraphedeliste"/>
        <w:numPr>
          <w:ilvl w:val="0"/>
          <w:numId w:val="4"/>
        </w:numPr>
        <w:spacing w:after="120" w:line="240" w:lineRule="auto"/>
        <w:jc w:val="both"/>
        <w:rPr>
          <w:rFonts w:ascii="Rockwell" w:hAnsi="Rockwell"/>
          <w:sz w:val="24"/>
          <w:szCs w:val="24"/>
        </w:rPr>
      </w:pPr>
      <w:r w:rsidRPr="00E20DA7">
        <w:rPr>
          <w:rFonts w:ascii="Rockwell" w:hAnsi="Rockwell"/>
          <w:sz w:val="24"/>
          <w:szCs w:val="24"/>
        </w:rPr>
        <w:t>la catégorie de classement ;</w:t>
      </w:r>
    </w:p>
    <w:p w:rsidR="008C7F3C" w:rsidRPr="00E20DA7" w:rsidRDefault="008C7F3C" w:rsidP="008F6018">
      <w:pPr>
        <w:pStyle w:val="Paragraphedeliste"/>
        <w:numPr>
          <w:ilvl w:val="0"/>
          <w:numId w:val="4"/>
        </w:numPr>
        <w:spacing w:after="120" w:line="240" w:lineRule="auto"/>
        <w:jc w:val="both"/>
        <w:rPr>
          <w:rFonts w:ascii="Rockwell" w:hAnsi="Rockwell"/>
          <w:sz w:val="24"/>
          <w:szCs w:val="24"/>
        </w:rPr>
      </w:pPr>
      <w:r w:rsidRPr="00E20DA7">
        <w:rPr>
          <w:rFonts w:ascii="Rockwell" w:hAnsi="Rockwell"/>
          <w:sz w:val="24"/>
          <w:szCs w:val="24"/>
        </w:rPr>
        <w:t>la période de production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la masse nette du colis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le nom et l’adresse du producteur, de l’emballeur ou de l’expéditeur.</w:t>
      </w:r>
    </w:p>
    <w:p w:rsidR="008C7F3C" w:rsidRPr="0061020E" w:rsidRDefault="008C7F3C"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Étiquetage des récipients non destinés à la vente au bétail</w:t>
      </w:r>
    </w:p>
    <w:p w:rsidR="008C7F3C" w:rsidRPr="0061020E" w:rsidRDefault="008C7F3C" w:rsidP="008F6018">
      <w:pPr>
        <w:spacing w:after="120" w:line="240" w:lineRule="auto"/>
        <w:jc w:val="both"/>
        <w:rPr>
          <w:rFonts w:ascii="Rockwell" w:hAnsi="Rockwell"/>
          <w:sz w:val="24"/>
          <w:szCs w:val="24"/>
        </w:rPr>
      </w:pPr>
      <w:r w:rsidRPr="0061020E">
        <w:rPr>
          <w:rFonts w:ascii="Rockwell" w:hAnsi="Rockwell"/>
          <w:sz w:val="24"/>
          <w:szCs w:val="24"/>
        </w:rPr>
        <w:t>Les renseignements sur les récipients non destinés à la vente au détail doivent figurer soit sur le récipient, soit dans les documents d’accompagnement, exception faite du nom du produit, de l’identification du lot et du nom et de l’adresse du fabricant ou de l’emballeur qui doivent figurer sur le récipient. Cependant, l’identification du lot et le nom et l’adresse du fabricant ou de l’emballeur peuvent être remplacés par une marque d’identification, à condition que cette marque puisse être clairement identifiée</w:t>
      </w:r>
      <w:r w:rsidR="009E4715">
        <w:rPr>
          <w:rFonts w:ascii="Rockwell" w:hAnsi="Rockwell"/>
          <w:sz w:val="24"/>
          <w:szCs w:val="24"/>
        </w:rPr>
        <w:t>,</w:t>
      </w:r>
      <w:r w:rsidRPr="0061020E">
        <w:rPr>
          <w:rFonts w:ascii="Rockwell" w:hAnsi="Rockwell"/>
          <w:sz w:val="24"/>
          <w:szCs w:val="24"/>
        </w:rPr>
        <w:t xml:space="preserve"> à l’aide des documents d’accompagnement.</w:t>
      </w:r>
    </w:p>
    <w:p w:rsidR="008C7F3C" w:rsidRPr="0061020E" w:rsidRDefault="008C7F3C" w:rsidP="008F6018">
      <w:pPr>
        <w:spacing w:after="120" w:line="240" w:lineRule="auto"/>
        <w:jc w:val="both"/>
        <w:rPr>
          <w:rFonts w:ascii="Rockwell" w:hAnsi="Rockwell"/>
          <w:sz w:val="24"/>
          <w:szCs w:val="24"/>
          <w:lang w:val="fr-CA"/>
        </w:rPr>
      </w:pPr>
    </w:p>
    <w:p w:rsidR="008C7F3C" w:rsidRPr="0061020E" w:rsidRDefault="00927983"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Contaminants</w:t>
      </w: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Métaux lourds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graines de niébé sèches doivent être exemptes de métaux lourds</w:t>
      </w:r>
      <w:r w:rsidR="009E4715">
        <w:rPr>
          <w:rFonts w:ascii="Rockwell" w:hAnsi="Rockwell"/>
          <w:sz w:val="24"/>
          <w:szCs w:val="24"/>
          <w:lang w:val="fr-CA"/>
        </w:rPr>
        <w:t>,</w:t>
      </w:r>
      <w:r w:rsidRPr="0061020E">
        <w:rPr>
          <w:rFonts w:ascii="Rockwell" w:hAnsi="Rockwell"/>
          <w:sz w:val="24"/>
          <w:szCs w:val="24"/>
          <w:lang w:val="fr-CA"/>
        </w:rPr>
        <w:t xml:space="preserve"> en quantités susceptibles de présenter un risque pour la santé</w:t>
      </w:r>
      <w:r w:rsidR="00942279">
        <w:rPr>
          <w:rFonts w:ascii="Rockwell" w:hAnsi="Rockwell"/>
          <w:sz w:val="24"/>
          <w:szCs w:val="24"/>
          <w:lang w:val="fr-CA"/>
        </w:rPr>
        <w:t>.</w:t>
      </w: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Résidus de pesticides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graines de niébé sèches doivent être conformes aux limites maximales de résidus de pesticides établies par le Comité du codex sur les résidus de pesticides pour ce produit.</w:t>
      </w: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 xml:space="preserve">Mycotoxines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Les graines de niébé sèches doivent être conformes aux limites maximales de mycotoxines fixées par la Commission du Codex </w:t>
      </w:r>
      <w:r w:rsidRPr="009E4715">
        <w:rPr>
          <w:rFonts w:ascii="Rockwell" w:hAnsi="Rockwell"/>
          <w:i/>
          <w:sz w:val="24"/>
          <w:szCs w:val="24"/>
          <w:lang w:val="fr-CA"/>
        </w:rPr>
        <w:t>Alimentarius</w:t>
      </w:r>
      <w:r w:rsidRPr="0061020E">
        <w:rPr>
          <w:rFonts w:ascii="Rockwell" w:hAnsi="Rockwell"/>
          <w:sz w:val="24"/>
          <w:szCs w:val="24"/>
          <w:lang w:val="fr-CA"/>
        </w:rPr>
        <w:t xml:space="preserve"> pour ce produit (</w:t>
      </w:r>
      <w:r w:rsidRPr="0061020E">
        <w:rPr>
          <w:rFonts w:ascii="Rockwell" w:hAnsi="Rockwell"/>
          <w:color w:val="000000"/>
          <w:sz w:val="24"/>
          <w:szCs w:val="24"/>
          <w:lang w:val="fr-CA"/>
        </w:rPr>
        <w:t>AOAC vol II 49.10 : 1995)</w:t>
      </w:r>
      <w:r w:rsidR="00942279">
        <w:rPr>
          <w:rFonts w:ascii="Rockwell" w:hAnsi="Rockwell"/>
          <w:color w:val="000000"/>
          <w:sz w:val="24"/>
          <w:szCs w:val="24"/>
          <w:lang w:val="fr-CA"/>
        </w:rPr>
        <w:t>.</w:t>
      </w:r>
    </w:p>
    <w:p w:rsidR="008C7F3C" w:rsidRPr="0061020E" w:rsidRDefault="00927983" w:rsidP="008F6018">
      <w:pPr>
        <w:spacing w:after="120" w:line="240" w:lineRule="auto"/>
        <w:jc w:val="both"/>
        <w:rPr>
          <w:rFonts w:ascii="Rockwell" w:hAnsi="Rockwell"/>
          <w:b/>
          <w:bCs/>
          <w:sz w:val="24"/>
          <w:szCs w:val="24"/>
          <w:lang w:val="fr-CA"/>
        </w:rPr>
      </w:pPr>
      <w:r w:rsidRPr="0061020E">
        <w:rPr>
          <w:rFonts w:ascii="Rockwell" w:hAnsi="Rockwell"/>
          <w:b/>
          <w:bCs/>
          <w:sz w:val="24"/>
          <w:szCs w:val="24"/>
          <w:lang w:val="fr-CA"/>
        </w:rPr>
        <w:t>Hygiène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 niébé doit </w:t>
      </w:r>
      <w:r w:rsidR="00927983" w:rsidRPr="0061020E">
        <w:rPr>
          <w:rFonts w:ascii="Rockwell" w:hAnsi="Rockwell"/>
          <w:sz w:val="24"/>
          <w:szCs w:val="24"/>
          <w:lang w:val="fr-CA"/>
        </w:rPr>
        <w:t>être</w:t>
      </w:r>
      <w:r w:rsidRPr="0061020E">
        <w:rPr>
          <w:rFonts w:ascii="Rockwell" w:hAnsi="Rockwell"/>
          <w:sz w:val="24"/>
          <w:szCs w:val="24"/>
          <w:lang w:val="fr-CA"/>
        </w:rPr>
        <w:t xml:space="preserve"> préparé et manipulé</w:t>
      </w:r>
      <w:r w:rsidR="009E4715">
        <w:rPr>
          <w:rFonts w:ascii="Rockwell" w:hAnsi="Rockwell"/>
          <w:sz w:val="24"/>
          <w:szCs w:val="24"/>
          <w:lang w:val="fr-CA"/>
        </w:rPr>
        <w:t>,</w:t>
      </w:r>
      <w:r w:rsidRPr="0061020E">
        <w:rPr>
          <w:rFonts w:ascii="Rockwell" w:hAnsi="Rockwell"/>
          <w:sz w:val="24"/>
          <w:szCs w:val="24"/>
          <w:lang w:val="fr-CA"/>
        </w:rPr>
        <w:t xml:space="preserve"> conformément aux sections appropriées du Code d’usages burkinab</w:t>
      </w:r>
      <w:r w:rsidR="009E4715">
        <w:rPr>
          <w:rFonts w:ascii="Rockwell" w:hAnsi="Rockwell"/>
          <w:sz w:val="24"/>
          <w:szCs w:val="24"/>
          <w:lang w:val="fr-CA"/>
        </w:rPr>
        <w:t>è</w:t>
      </w:r>
      <w:r w:rsidRPr="0061020E">
        <w:rPr>
          <w:rFonts w:ascii="Rockwell" w:hAnsi="Rockwell"/>
          <w:sz w:val="24"/>
          <w:szCs w:val="24"/>
          <w:lang w:val="fr-CA"/>
        </w:rPr>
        <w:t xml:space="preserve"> recommandé – Principes généraux d’hygiène alimentaire.</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la mesure où le permettent les bonnes pratiques de production, le produit doit être exempt de matières inadmissibles.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Lorsqu’il est analysé selon les méthodes appropriées d’échantillonnage et d’examen, le produit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doit être exempt de microorganismes en quantités</w:t>
      </w:r>
      <w:r w:rsidR="009E4715">
        <w:rPr>
          <w:rFonts w:ascii="Rockwell" w:hAnsi="Rockwell"/>
          <w:sz w:val="24"/>
          <w:szCs w:val="24"/>
          <w:lang w:val="fr-CA"/>
        </w:rPr>
        <w:t>,</w:t>
      </w:r>
      <w:r w:rsidRPr="00E20DA7">
        <w:rPr>
          <w:rFonts w:ascii="Rockwell" w:hAnsi="Rockwell"/>
          <w:sz w:val="24"/>
          <w:szCs w:val="24"/>
          <w:lang w:val="fr-CA"/>
        </w:rPr>
        <w:t xml:space="preserve"> pouvant présenter un risque pour la santé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doit être exempt de parasites pouvant présenter un risque pour la santé ;</w:t>
      </w:r>
    </w:p>
    <w:p w:rsidR="008C7F3C" w:rsidRPr="00E20DA7" w:rsidRDefault="008C7F3C" w:rsidP="008F6018">
      <w:pPr>
        <w:pStyle w:val="Paragraphedeliste"/>
        <w:numPr>
          <w:ilvl w:val="0"/>
          <w:numId w:val="4"/>
        </w:numPr>
        <w:spacing w:after="120" w:line="240" w:lineRule="auto"/>
        <w:jc w:val="both"/>
        <w:rPr>
          <w:rFonts w:ascii="Rockwell" w:hAnsi="Rockwell"/>
          <w:sz w:val="24"/>
          <w:szCs w:val="24"/>
          <w:lang w:val="fr-CA"/>
        </w:rPr>
      </w:pPr>
      <w:r w:rsidRPr="00E20DA7">
        <w:rPr>
          <w:rFonts w:ascii="Rockwell" w:hAnsi="Rockwell"/>
          <w:sz w:val="24"/>
          <w:szCs w:val="24"/>
          <w:lang w:val="fr-CA"/>
        </w:rPr>
        <w:t>ne doit contenir aucune substance provenant de microorganismes en quantités</w:t>
      </w:r>
      <w:r w:rsidR="009E4715">
        <w:rPr>
          <w:rFonts w:ascii="Rockwell" w:hAnsi="Rockwell"/>
          <w:sz w:val="24"/>
          <w:szCs w:val="24"/>
          <w:lang w:val="fr-CA"/>
        </w:rPr>
        <w:t>,</w:t>
      </w:r>
      <w:r w:rsidRPr="00E20DA7">
        <w:rPr>
          <w:rFonts w:ascii="Rockwell" w:hAnsi="Rockwell"/>
          <w:sz w:val="24"/>
          <w:szCs w:val="24"/>
          <w:lang w:val="fr-CA"/>
        </w:rPr>
        <w:t xml:space="preserve"> pouvant présenter un risque pour la santé.</w:t>
      </w:r>
    </w:p>
    <w:p w:rsidR="008C7F3C" w:rsidRPr="0061020E" w:rsidRDefault="008C7F3C" w:rsidP="008F6018">
      <w:pPr>
        <w:spacing w:after="120" w:line="240" w:lineRule="auto"/>
        <w:jc w:val="both"/>
        <w:rPr>
          <w:rFonts w:ascii="Rockwell" w:hAnsi="Rockwell"/>
          <w:sz w:val="24"/>
          <w:szCs w:val="24"/>
          <w:lang w:val="fr-CA"/>
        </w:rPr>
      </w:pPr>
    </w:p>
    <w:p w:rsidR="008C7F3C" w:rsidRPr="0061020E" w:rsidRDefault="008C7F3C" w:rsidP="008F6018">
      <w:pPr>
        <w:pStyle w:val="Titre3"/>
        <w:numPr>
          <w:ilvl w:val="0"/>
          <w:numId w:val="98"/>
        </w:numPr>
        <w:spacing w:before="0" w:after="120" w:line="240" w:lineRule="auto"/>
        <w:jc w:val="both"/>
        <w:rPr>
          <w:rFonts w:ascii="Rockwell" w:hAnsi="Rockwell"/>
          <w:color w:val="auto"/>
          <w:sz w:val="24"/>
          <w:szCs w:val="24"/>
        </w:rPr>
      </w:pPr>
      <w:bookmarkStart w:id="275" w:name="_Toc505063312"/>
      <w:r w:rsidRPr="0061020E">
        <w:rPr>
          <w:rFonts w:ascii="Rockwell" w:hAnsi="Rockwell"/>
          <w:color w:val="auto"/>
          <w:sz w:val="24"/>
          <w:szCs w:val="24"/>
        </w:rPr>
        <w:t>Exigences communes à tous les produits alimentaires en matiè</w:t>
      </w:r>
      <w:r w:rsidR="009E4715">
        <w:rPr>
          <w:rFonts w:ascii="Rockwell" w:hAnsi="Rockwell"/>
          <w:color w:val="auto"/>
          <w:sz w:val="24"/>
          <w:szCs w:val="24"/>
        </w:rPr>
        <w:t>re d’achat éco</w:t>
      </w:r>
      <w:r w:rsidRPr="0061020E">
        <w:rPr>
          <w:rFonts w:ascii="Rockwell" w:hAnsi="Rockwell"/>
          <w:color w:val="auto"/>
          <w:sz w:val="24"/>
          <w:szCs w:val="24"/>
        </w:rPr>
        <w:t>responsable</w:t>
      </w:r>
      <w:bookmarkEnd w:id="275"/>
      <w:r w:rsidRPr="0061020E">
        <w:rPr>
          <w:rFonts w:ascii="Rockwell" w:hAnsi="Rockwell"/>
          <w:color w:val="auto"/>
          <w:sz w:val="24"/>
          <w:szCs w:val="24"/>
        </w:rPr>
        <w:t xml:space="preserve"> </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appartient à l’acheteur public, de prendre en compte les objectifs de développement durable</w:t>
      </w:r>
      <w:r w:rsidR="009E4715">
        <w:rPr>
          <w:rFonts w:ascii="Rockwell" w:hAnsi="Rockwell"/>
          <w:sz w:val="24"/>
          <w:szCs w:val="24"/>
          <w:lang w:val="fr-CA"/>
        </w:rPr>
        <w:t>,</w:t>
      </w:r>
      <w:r w:rsidRPr="0061020E">
        <w:rPr>
          <w:rFonts w:ascii="Rockwell" w:hAnsi="Rockwell"/>
          <w:sz w:val="24"/>
          <w:szCs w:val="24"/>
          <w:lang w:val="fr-CA"/>
        </w:rPr>
        <w:t xml:space="preserve"> lors de la détermination des besoins à satisfaire. L’acheteur public a la faculté d’intégrer des considérations sociales ou environnementales dans les conditions d’exécution du marché, d’utiliser des critères d’attribution</w:t>
      </w:r>
      <w:r w:rsidR="009E4715">
        <w:rPr>
          <w:rFonts w:ascii="Rockwell" w:hAnsi="Rockwell"/>
          <w:sz w:val="24"/>
          <w:szCs w:val="24"/>
          <w:lang w:val="fr-CA"/>
        </w:rPr>
        <w:t>,</w:t>
      </w:r>
      <w:r w:rsidRPr="0061020E">
        <w:rPr>
          <w:rFonts w:ascii="Rockwell" w:hAnsi="Rockwell"/>
          <w:sz w:val="24"/>
          <w:szCs w:val="24"/>
          <w:lang w:val="fr-CA"/>
        </w:rPr>
        <w:t xml:space="preserve"> en termes de performances environnementales et d’insertion professionnelle pour choisir l’offre économiquement la plus avantageuse. Comme tout achat public, l’achat p</w:t>
      </w:r>
      <w:r w:rsidR="009E4715">
        <w:rPr>
          <w:rFonts w:ascii="Rockwell" w:hAnsi="Rockwell"/>
          <w:sz w:val="24"/>
          <w:szCs w:val="24"/>
          <w:lang w:val="fr-CA"/>
        </w:rPr>
        <w:t>ublic  éco</w:t>
      </w:r>
      <w:r w:rsidRPr="0061020E">
        <w:rPr>
          <w:rFonts w:ascii="Rockwell" w:hAnsi="Rockwell"/>
          <w:sz w:val="24"/>
          <w:szCs w:val="24"/>
          <w:lang w:val="fr-CA"/>
        </w:rPr>
        <w:t>responsable s’effectue dans le strict respect de la liberté d’accès à la commande publique, l’égalité de traitement des candidats, et la transparence des procédures. Ces principes visent à non-discrimination entre les fournisseurs potentiels. Les modalités contractuelles d’exécution du marché, notamment celles de livraison et de réception, doivent prendre en compte les objectifs de politique environnementale et de comportement écoresponsable, assignés à l’achat.</w:t>
      </w:r>
    </w:p>
    <w:p w:rsidR="00174DAA" w:rsidRDefault="00174DAA" w:rsidP="008F6018">
      <w:pPr>
        <w:spacing w:after="120" w:line="240" w:lineRule="auto"/>
        <w:jc w:val="both"/>
        <w:rPr>
          <w:rFonts w:ascii="Rockwell" w:hAnsi="Rockwell"/>
          <w:sz w:val="24"/>
          <w:szCs w:val="24"/>
          <w:highlight w:val="magenta"/>
          <w:lang w:val="fr-CA"/>
        </w:rPr>
      </w:pPr>
    </w:p>
    <w:p w:rsidR="008C7F3C" w:rsidRPr="00440898" w:rsidRDefault="008C7F3C" w:rsidP="008F6018">
      <w:p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Il est ainsi recommandé aux acheteurs :</w:t>
      </w:r>
    </w:p>
    <w:p w:rsidR="008C7F3C" w:rsidRPr="00440898" w:rsidRDefault="008C7F3C" w:rsidP="008F6018">
      <w:pPr>
        <w:pStyle w:val="Paragraphedeliste"/>
        <w:numPr>
          <w:ilvl w:val="0"/>
          <w:numId w:val="20"/>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d’émettre les commandes le plus tôt possible, afin d’optimiser les circuits de livraison ;</w:t>
      </w:r>
    </w:p>
    <w:p w:rsidR="008C7F3C" w:rsidRPr="00440898" w:rsidRDefault="008C7F3C" w:rsidP="008F6018">
      <w:pPr>
        <w:pStyle w:val="Paragraphedeliste"/>
        <w:numPr>
          <w:ilvl w:val="0"/>
          <w:numId w:val="20"/>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 xml:space="preserve">de limiter le nombre de livraisons au strict nécessaire à la satisfaction des besoins de la collectivité; </w:t>
      </w:r>
    </w:p>
    <w:p w:rsidR="008C7F3C" w:rsidRPr="00440898" w:rsidRDefault="008C7F3C" w:rsidP="008F6018">
      <w:pPr>
        <w:pStyle w:val="Paragraphedeliste"/>
        <w:numPr>
          <w:ilvl w:val="0"/>
          <w:numId w:val="20"/>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 xml:space="preserve">d’élargir le plus possible les plages horaires de livraison dans la journée, de façon à fluidifier la circulation dans les agglomérations ; </w:t>
      </w:r>
    </w:p>
    <w:p w:rsidR="008C7F3C" w:rsidRPr="00440898" w:rsidRDefault="008C7F3C" w:rsidP="008F6018">
      <w:pPr>
        <w:pStyle w:val="Paragraphedeliste"/>
        <w:numPr>
          <w:ilvl w:val="0"/>
          <w:numId w:val="20"/>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de mettre en place le tri sélectif dans les unités de production et</w:t>
      </w:r>
      <w:r w:rsidR="009E4715">
        <w:rPr>
          <w:rFonts w:ascii="Rockwell" w:hAnsi="Rockwell"/>
          <w:b/>
          <w:sz w:val="24"/>
          <w:szCs w:val="24"/>
          <w:highlight w:val="magenta"/>
          <w:lang w:val="fr-CA"/>
        </w:rPr>
        <w:t>/de</w:t>
      </w:r>
      <w:r w:rsidRPr="00440898">
        <w:rPr>
          <w:rFonts w:ascii="Rockwell" w:hAnsi="Rockwell"/>
          <w:b/>
          <w:sz w:val="24"/>
          <w:szCs w:val="24"/>
          <w:highlight w:val="magenta"/>
          <w:lang w:val="fr-CA"/>
        </w:rPr>
        <w:t xml:space="preserve"> distribution.</w:t>
      </w:r>
    </w:p>
    <w:p w:rsidR="008C7F3C" w:rsidRPr="00440898" w:rsidRDefault="008C7F3C" w:rsidP="008F6018">
      <w:pPr>
        <w:spacing w:after="120" w:line="240" w:lineRule="auto"/>
        <w:jc w:val="both"/>
        <w:rPr>
          <w:rFonts w:ascii="Rockwell" w:hAnsi="Rockwell"/>
          <w:b/>
          <w:sz w:val="24"/>
          <w:szCs w:val="24"/>
          <w:lang w:val="fr-CA"/>
        </w:rPr>
      </w:pPr>
    </w:p>
    <w:p w:rsidR="008C7F3C" w:rsidRPr="00440898" w:rsidRDefault="008C7F3C" w:rsidP="008F6018">
      <w:p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Il est de même recommandé aux fournisseurs :</w:t>
      </w:r>
    </w:p>
    <w:p w:rsidR="008C7F3C" w:rsidRPr="00440898" w:rsidRDefault="008C7F3C" w:rsidP="008F6018">
      <w:pPr>
        <w:pStyle w:val="Paragraphedeliste"/>
        <w:numPr>
          <w:ilvl w:val="0"/>
          <w:numId w:val="21"/>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 xml:space="preserve">de s’engager dans une démarche de production moins génératrice de gaz à effet de serre (économie d’énergie, optimisation des livraisons, économies de consommables, etc.) ; </w:t>
      </w:r>
    </w:p>
    <w:p w:rsidR="008C7F3C" w:rsidRPr="00440898" w:rsidRDefault="008C7F3C" w:rsidP="008F6018">
      <w:pPr>
        <w:pStyle w:val="Paragraphedeliste"/>
        <w:numPr>
          <w:ilvl w:val="0"/>
          <w:numId w:val="21"/>
        </w:numPr>
        <w:spacing w:after="120" w:line="240" w:lineRule="auto"/>
        <w:jc w:val="both"/>
        <w:rPr>
          <w:rFonts w:ascii="Rockwell" w:hAnsi="Rockwell"/>
          <w:b/>
          <w:sz w:val="24"/>
          <w:szCs w:val="24"/>
          <w:highlight w:val="magenta"/>
          <w:lang w:val="fr-CA"/>
        </w:rPr>
      </w:pPr>
      <w:r w:rsidRPr="00440898">
        <w:rPr>
          <w:rFonts w:ascii="Rockwell" w:hAnsi="Rockwell"/>
          <w:b/>
          <w:sz w:val="24"/>
          <w:szCs w:val="24"/>
          <w:highlight w:val="magenta"/>
          <w:lang w:val="fr-CA"/>
        </w:rPr>
        <w:t xml:space="preserve">d’utiliser si possible des emballages durables, réutilisables ou recyclables, et adaptés à la restauration collective, </w:t>
      </w:r>
      <w:r w:rsidR="00440898">
        <w:rPr>
          <w:rFonts w:ascii="Rockwell" w:hAnsi="Rockwell"/>
          <w:b/>
          <w:sz w:val="24"/>
          <w:szCs w:val="24"/>
          <w:highlight w:val="magenta"/>
          <w:lang w:val="fr-CA"/>
        </w:rPr>
        <w:t>et limiter les suremballages.</w:t>
      </w:r>
    </w:p>
    <w:p w:rsidR="00942279" w:rsidRPr="0061020E" w:rsidRDefault="00942279" w:rsidP="008F6018">
      <w:pPr>
        <w:pStyle w:val="Paragraphedeliste"/>
        <w:spacing w:after="120" w:line="240" w:lineRule="auto"/>
        <w:jc w:val="both"/>
        <w:rPr>
          <w:rFonts w:ascii="Rockwell" w:hAnsi="Rockwell"/>
          <w:sz w:val="24"/>
          <w:szCs w:val="24"/>
          <w:lang w:val="fr-CA"/>
        </w:rPr>
      </w:pPr>
    </w:p>
    <w:p w:rsidR="008C7F3C" w:rsidRPr="00440898" w:rsidRDefault="008C7F3C" w:rsidP="008F6018">
      <w:pPr>
        <w:spacing w:after="120" w:line="240" w:lineRule="auto"/>
        <w:jc w:val="both"/>
        <w:rPr>
          <w:rFonts w:ascii="Rockwell" w:hAnsi="Rockwell"/>
          <w:b/>
          <w:sz w:val="24"/>
          <w:szCs w:val="24"/>
          <w:lang w:val="fr-CA"/>
        </w:rPr>
      </w:pPr>
      <w:r w:rsidRPr="00440898">
        <w:rPr>
          <w:rFonts w:ascii="Rockwell" w:hAnsi="Rockwell"/>
          <w:b/>
          <w:sz w:val="24"/>
          <w:szCs w:val="24"/>
          <w:lang w:val="fr-CA"/>
        </w:rPr>
        <w:t>Il est enfin</w:t>
      </w:r>
      <w:r w:rsidR="009E4715">
        <w:rPr>
          <w:rFonts w:ascii="Rockwell" w:hAnsi="Rockwell"/>
          <w:b/>
          <w:sz w:val="24"/>
          <w:szCs w:val="24"/>
          <w:lang w:val="fr-CA"/>
        </w:rPr>
        <w:t>,</w:t>
      </w:r>
      <w:r w:rsidRPr="00440898">
        <w:rPr>
          <w:rFonts w:ascii="Rockwell" w:hAnsi="Rockwell"/>
          <w:b/>
          <w:sz w:val="24"/>
          <w:szCs w:val="24"/>
          <w:lang w:val="fr-CA"/>
        </w:rPr>
        <w:t xml:space="preserve"> recommandé aux fournisseurs et aux acheteurs de mettre en place une gestion stricte des palettes, conteneurs et emballages consignés accompagnant la marchandise.</w:t>
      </w:r>
    </w:p>
    <w:p w:rsidR="008C7F3C" w:rsidRPr="0061020E" w:rsidRDefault="008C7F3C" w:rsidP="008F6018">
      <w:pPr>
        <w:spacing w:after="120" w:line="240" w:lineRule="auto"/>
        <w:jc w:val="both"/>
        <w:rPr>
          <w:rFonts w:ascii="Rockwell" w:hAnsi="Rockwell"/>
          <w:sz w:val="24"/>
          <w:szCs w:val="24"/>
          <w:lang w:val="fr-CA"/>
        </w:rPr>
      </w:pPr>
    </w:p>
    <w:p w:rsidR="008C7F3C" w:rsidRPr="00440898" w:rsidRDefault="00861D4B" w:rsidP="008F6018">
      <w:pPr>
        <w:pStyle w:val="Titre3"/>
        <w:numPr>
          <w:ilvl w:val="0"/>
          <w:numId w:val="98"/>
        </w:numPr>
        <w:spacing w:before="0" w:after="120" w:line="240" w:lineRule="auto"/>
        <w:jc w:val="both"/>
        <w:rPr>
          <w:rFonts w:ascii="Rockwell" w:hAnsi="Rockwell"/>
          <w:color w:val="auto"/>
          <w:sz w:val="24"/>
          <w:szCs w:val="24"/>
        </w:rPr>
      </w:pPr>
      <w:bookmarkStart w:id="276" w:name="_Toc505063313"/>
      <w:r w:rsidRPr="00440898">
        <w:rPr>
          <w:rFonts w:ascii="Rockwell" w:hAnsi="Rockwell"/>
          <w:color w:val="auto"/>
          <w:sz w:val="24"/>
          <w:szCs w:val="24"/>
        </w:rPr>
        <w:t>Cas des</w:t>
      </w:r>
      <w:r w:rsidR="008C7F3C" w:rsidRPr="00440898">
        <w:rPr>
          <w:rFonts w:ascii="Rockwell" w:hAnsi="Rockwell"/>
          <w:color w:val="auto"/>
          <w:sz w:val="24"/>
          <w:szCs w:val="24"/>
        </w:rPr>
        <w:t xml:space="preserve"> </w:t>
      </w:r>
      <w:r w:rsidRPr="00440898">
        <w:rPr>
          <w:rFonts w:ascii="Rockwell" w:hAnsi="Rockwell"/>
          <w:color w:val="auto"/>
          <w:sz w:val="24"/>
          <w:szCs w:val="24"/>
        </w:rPr>
        <w:t>produits de la chimie</w:t>
      </w:r>
      <w:bookmarkEnd w:id="276"/>
    </w:p>
    <w:p w:rsidR="008C7F3C" w:rsidRPr="0061020E" w:rsidRDefault="00861D4B" w:rsidP="008F6018">
      <w:pPr>
        <w:pStyle w:val="Titre4"/>
        <w:numPr>
          <w:ilvl w:val="0"/>
          <w:numId w:val="101"/>
        </w:numPr>
        <w:spacing w:before="0" w:after="120" w:line="240" w:lineRule="auto"/>
        <w:jc w:val="both"/>
        <w:rPr>
          <w:rFonts w:ascii="Rockwell" w:hAnsi="Rockwell"/>
          <w:color w:val="auto"/>
          <w:sz w:val="24"/>
          <w:szCs w:val="24"/>
        </w:rPr>
      </w:pPr>
      <w:bookmarkStart w:id="277" w:name="_Toc505063314"/>
      <w:r w:rsidRPr="0061020E">
        <w:rPr>
          <w:rFonts w:ascii="Rockwell" w:hAnsi="Rockwell"/>
          <w:color w:val="auto"/>
          <w:sz w:val="24"/>
          <w:szCs w:val="24"/>
        </w:rPr>
        <w:t>E</w:t>
      </w:r>
      <w:r w:rsidR="008C7F3C" w:rsidRPr="0061020E">
        <w:rPr>
          <w:rFonts w:ascii="Rockwell" w:hAnsi="Rockwell"/>
          <w:color w:val="auto"/>
          <w:sz w:val="24"/>
          <w:szCs w:val="24"/>
        </w:rPr>
        <w:t>aux et extraits de javel</w:t>
      </w:r>
      <w:bookmarkEnd w:id="277"/>
      <w:r w:rsidR="008C7F3C" w:rsidRPr="0061020E">
        <w:rPr>
          <w:rFonts w:ascii="Rockwell" w:hAnsi="Rockwell"/>
          <w:color w:val="auto"/>
          <w:sz w:val="24"/>
          <w:szCs w:val="24"/>
        </w:rPr>
        <w:t xml:space="preserve"> </w:t>
      </w:r>
    </w:p>
    <w:p w:rsidR="008C7F3C" w:rsidRPr="00E20DA7" w:rsidRDefault="008C7F3C" w:rsidP="008F6018">
      <w:pPr>
        <w:spacing w:after="120" w:line="240" w:lineRule="auto"/>
        <w:jc w:val="both"/>
        <w:rPr>
          <w:rFonts w:ascii="Rockwell" w:hAnsi="Rockwell" w:cs="Tahoma"/>
          <w:sz w:val="24"/>
          <w:szCs w:val="24"/>
          <w:lang w:val="fr-CA"/>
        </w:rPr>
      </w:pPr>
      <w:r w:rsidRPr="00E20DA7">
        <w:rPr>
          <w:rFonts w:ascii="Rockwell" w:hAnsi="Rockwell" w:cs="Tahoma"/>
          <w:sz w:val="24"/>
          <w:szCs w:val="24"/>
          <w:lang w:val="fr-CA"/>
        </w:rPr>
        <w:t xml:space="preserve">L’eau de javel désigne toute solution aqueuse d’hypochlorite de sodium. La dénomination «  Eau de  Javel  </w:t>
      </w:r>
      <w:r w:rsidR="009E4715">
        <w:rPr>
          <w:rFonts w:ascii="Rockwell" w:hAnsi="Rockwell" w:cs="Tahoma"/>
          <w:sz w:val="24"/>
          <w:szCs w:val="24"/>
          <w:lang w:val="fr-CA"/>
        </w:rPr>
        <w:t>c</w:t>
      </w:r>
      <w:r w:rsidRPr="00E20DA7">
        <w:rPr>
          <w:rFonts w:ascii="Rockwell" w:hAnsi="Rockwell" w:cs="Tahoma"/>
          <w:sz w:val="24"/>
          <w:szCs w:val="24"/>
          <w:lang w:val="fr-CA"/>
        </w:rPr>
        <w:t>oncentrée » est réservée aux solutions d’hypochlorite de sodium titrant plus de 12 degrés. Seules ont droit à la dénomination « extrait »</w:t>
      </w:r>
      <w:r w:rsidR="009C126D">
        <w:rPr>
          <w:rFonts w:ascii="Rockwell" w:hAnsi="Rockwell" w:cs="Tahoma"/>
          <w:sz w:val="24"/>
          <w:szCs w:val="24"/>
          <w:lang w:val="fr-CA"/>
        </w:rPr>
        <w:t>,</w:t>
      </w:r>
      <w:r w:rsidRPr="00E20DA7">
        <w:rPr>
          <w:rFonts w:ascii="Rockwell" w:hAnsi="Rockwell" w:cs="Tahoma"/>
          <w:sz w:val="24"/>
          <w:szCs w:val="24"/>
          <w:lang w:val="fr-CA"/>
        </w:rPr>
        <w:t xml:space="preserve"> les solutions titrant au minimum 40 degrés.</w:t>
      </w:r>
    </w:p>
    <w:p w:rsidR="008C7F3C" w:rsidRPr="00E20DA7" w:rsidRDefault="008C7F3C" w:rsidP="008F6018">
      <w:pPr>
        <w:spacing w:after="120" w:line="240" w:lineRule="auto"/>
        <w:jc w:val="both"/>
        <w:rPr>
          <w:rFonts w:ascii="Rockwell" w:hAnsi="Rockwell" w:cs="Tahoma"/>
          <w:sz w:val="24"/>
          <w:szCs w:val="24"/>
          <w:lang w:val="fr-CA"/>
        </w:rPr>
      </w:pPr>
      <w:r w:rsidRPr="00E20DA7">
        <w:rPr>
          <w:rFonts w:ascii="Rockwell" w:hAnsi="Rockwell" w:cs="Tahoma"/>
          <w:sz w:val="24"/>
          <w:szCs w:val="24"/>
          <w:lang w:val="fr-CA"/>
        </w:rPr>
        <w:t>Les eaux de javel titrant moins de 6 degrés ne peuvent être détenues en vue de la vente ou mise en vente ou vendues autrement que comme produits «  dilués »</w:t>
      </w:r>
    </w:p>
    <w:p w:rsidR="008C7F3C" w:rsidRPr="00E20DA7" w:rsidRDefault="008C7F3C" w:rsidP="008F6018">
      <w:pPr>
        <w:spacing w:after="120" w:line="240" w:lineRule="auto"/>
        <w:jc w:val="both"/>
        <w:rPr>
          <w:rFonts w:ascii="Rockwell" w:hAnsi="Rockwell" w:cs="Tahoma"/>
          <w:sz w:val="24"/>
          <w:szCs w:val="24"/>
          <w:lang w:val="fr-CA"/>
        </w:rPr>
      </w:pPr>
      <w:r w:rsidRPr="00E20DA7">
        <w:rPr>
          <w:rFonts w:ascii="Rockwell" w:hAnsi="Rockwell" w:cs="Tahoma"/>
          <w:sz w:val="24"/>
          <w:szCs w:val="24"/>
          <w:lang w:val="fr-CA"/>
        </w:rPr>
        <w:lastRenderedPageBreak/>
        <w:t>L’utilisation du bichromate de sodium ou de potassium dans les solutions précitées est interdite.</w:t>
      </w:r>
    </w:p>
    <w:p w:rsidR="008C7F3C" w:rsidRPr="00E20DA7" w:rsidRDefault="008C7F3C" w:rsidP="008F6018">
      <w:pPr>
        <w:spacing w:after="120" w:line="240" w:lineRule="auto"/>
        <w:jc w:val="both"/>
        <w:rPr>
          <w:rFonts w:ascii="Rockwell" w:hAnsi="Rockwell" w:cs="Tahoma"/>
          <w:sz w:val="24"/>
          <w:szCs w:val="24"/>
          <w:lang w:val="fr-CA"/>
        </w:rPr>
      </w:pPr>
      <w:r w:rsidRPr="00E20DA7">
        <w:rPr>
          <w:rFonts w:ascii="Rockwell" w:hAnsi="Rockwell" w:cs="Tahoma"/>
          <w:sz w:val="24"/>
          <w:szCs w:val="24"/>
          <w:lang w:val="fr-CA"/>
        </w:rPr>
        <w:t>La valeur du degré chloromètrique annoncée doit être respectée à la sortie d’usine.</w:t>
      </w:r>
    </w:p>
    <w:p w:rsidR="008C7F3C" w:rsidRPr="0061020E" w:rsidRDefault="008C7F3C" w:rsidP="008F6018">
      <w:pPr>
        <w:spacing w:after="120" w:line="240" w:lineRule="auto"/>
        <w:ind w:left="357"/>
        <w:jc w:val="both"/>
        <w:rPr>
          <w:rFonts w:ascii="Rockwell" w:hAnsi="Rockwell" w:cs="Tahoma"/>
          <w:i/>
          <w:sz w:val="24"/>
          <w:szCs w:val="24"/>
          <w:lang w:val="fr-CA"/>
        </w:rPr>
      </w:pPr>
      <w:r w:rsidRPr="0061020E">
        <w:rPr>
          <w:rFonts w:ascii="Rockwell" w:hAnsi="Rockwell" w:cs="Tahoma"/>
          <w:i/>
          <w:sz w:val="24"/>
          <w:szCs w:val="24"/>
          <w:lang w:val="fr-CA"/>
        </w:rPr>
        <w:t xml:space="preserve">NOTE : Dans notre pays, comme dans certains autres pays de la </w:t>
      </w:r>
      <w:r w:rsidR="000029EB" w:rsidRPr="0061020E">
        <w:rPr>
          <w:rFonts w:ascii="Rockwell" w:hAnsi="Rockwell" w:cs="Tahoma"/>
          <w:i/>
          <w:sz w:val="24"/>
          <w:szCs w:val="24"/>
          <w:lang w:val="fr-CA"/>
        </w:rPr>
        <w:t>sous-région</w:t>
      </w:r>
      <w:r w:rsidRPr="0061020E">
        <w:rPr>
          <w:rFonts w:ascii="Rockwell" w:hAnsi="Rockwell" w:cs="Tahoma"/>
          <w:i/>
          <w:sz w:val="24"/>
          <w:szCs w:val="24"/>
          <w:lang w:val="fr-CA"/>
        </w:rPr>
        <w:t>, il est difficile de s’approvisionner en chlore gazeux ou en solution d’hypochlorite de sodium (coût et transport).Il est courant d’utiliser de l’hypochlorite de calcium (Ca(ClO)</w:t>
      </w:r>
      <w:r w:rsidRPr="0061020E">
        <w:rPr>
          <w:rFonts w:ascii="Rockwell" w:hAnsi="Rockwell" w:cs="Tahoma"/>
          <w:i/>
          <w:sz w:val="24"/>
          <w:szCs w:val="24"/>
          <w:vertAlign w:val="subscript"/>
          <w:lang w:val="fr-CA"/>
        </w:rPr>
        <w:t>2</w:t>
      </w:r>
      <w:r w:rsidRPr="0061020E">
        <w:rPr>
          <w:rFonts w:ascii="Rockwell" w:hAnsi="Rockwell" w:cs="Tahoma"/>
          <w:i/>
          <w:sz w:val="24"/>
          <w:szCs w:val="24"/>
          <w:lang w:val="fr-CA"/>
        </w:rPr>
        <w:t>). Ce  produit d’utilisation pratique, est sous forme de poudre de 92 à 94% de pureté contenant autour de 600g/kg de chlore actif. Il est très soluble dans l’eau et l’on peut en préparer des solutions aqueuses analogues à celles de l’hypochlorite de sodium ayant les mêmes degrés chlorométriques. Toutefois</w:t>
      </w:r>
      <w:r w:rsidR="009C126D">
        <w:rPr>
          <w:rFonts w:ascii="Rockwell" w:hAnsi="Rockwell" w:cs="Tahoma"/>
          <w:i/>
          <w:sz w:val="24"/>
          <w:szCs w:val="24"/>
          <w:lang w:val="fr-CA"/>
        </w:rPr>
        <w:t>,</w:t>
      </w:r>
      <w:r w:rsidRPr="0061020E">
        <w:rPr>
          <w:rFonts w:ascii="Rockwell" w:hAnsi="Rockwell" w:cs="Tahoma"/>
          <w:i/>
          <w:sz w:val="24"/>
          <w:szCs w:val="24"/>
          <w:lang w:val="fr-CA"/>
        </w:rPr>
        <w:t xml:space="preserve"> il est recommandé, en raison des impuretés qu’il contient, de ne pas dépasser 60g /l. Ce produit chloré et ses solutions</w:t>
      </w:r>
      <w:r w:rsidR="009C126D">
        <w:rPr>
          <w:rFonts w:ascii="Rockwell" w:hAnsi="Rockwell" w:cs="Tahoma"/>
          <w:i/>
          <w:sz w:val="24"/>
          <w:szCs w:val="24"/>
          <w:lang w:val="fr-CA"/>
        </w:rPr>
        <w:t>,</w:t>
      </w:r>
      <w:r w:rsidRPr="0061020E">
        <w:rPr>
          <w:rFonts w:ascii="Rockwell" w:hAnsi="Rockwell" w:cs="Tahoma"/>
          <w:i/>
          <w:sz w:val="24"/>
          <w:szCs w:val="24"/>
          <w:lang w:val="fr-CA"/>
        </w:rPr>
        <w:t xml:space="preserve"> en aucun cas</w:t>
      </w:r>
      <w:r w:rsidR="009C126D">
        <w:rPr>
          <w:rFonts w:ascii="Rockwell" w:hAnsi="Rockwell" w:cs="Tahoma"/>
          <w:i/>
          <w:sz w:val="24"/>
          <w:szCs w:val="24"/>
          <w:lang w:val="fr-CA"/>
        </w:rPr>
        <w:t>,</w:t>
      </w:r>
      <w:r w:rsidRPr="0061020E">
        <w:rPr>
          <w:rFonts w:ascii="Rockwell" w:hAnsi="Rockwell" w:cs="Tahoma"/>
          <w:i/>
          <w:sz w:val="24"/>
          <w:szCs w:val="24"/>
          <w:lang w:val="fr-CA"/>
        </w:rPr>
        <w:t xml:space="preserve"> ne peuvent être désignés sous l’appellation « extraits ou d’eaux de Javel ». </w:t>
      </w:r>
    </w:p>
    <w:p w:rsidR="008C7F3C" w:rsidRPr="0061020E" w:rsidRDefault="009C126D" w:rsidP="008F6018">
      <w:pPr>
        <w:pStyle w:val="Paragraphedeliste"/>
        <w:numPr>
          <w:ilvl w:val="0"/>
          <w:numId w:val="63"/>
        </w:numPr>
        <w:spacing w:after="120" w:line="240" w:lineRule="auto"/>
        <w:jc w:val="both"/>
        <w:rPr>
          <w:rFonts w:ascii="Rockwell" w:hAnsi="Rockwell" w:cs="Tahoma"/>
          <w:b/>
          <w:bCs/>
          <w:sz w:val="24"/>
          <w:szCs w:val="24"/>
          <w:lang w:val="fr-CA"/>
        </w:rPr>
      </w:pPr>
      <w:r w:rsidRPr="0061020E">
        <w:rPr>
          <w:rFonts w:ascii="Rockwell" w:hAnsi="Rockwell" w:cs="Tahoma"/>
          <w:b/>
          <w:bCs/>
          <w:sz w:val="24"/>
          <w:szCs w:val="24"/>
          <w:lang w:val="fr-CA"/>
        </w:rPr>
        <w:t>C</w:t>
      </w:r>
      <w:r w:rsidR="005963AE" w:rsidRPr="0061020E">
        <w:rPr>
          <w:rFonts w:ascii="Rockwell" w:hAnsi="Rockwell" w:cs="Tahoma"/>
          <w:b/>
          <w:bCs/>
          <w:sz w:val="24"/>
          <w:szCs w:val="24"/>
          <w:lang w:val="fr-CA"/>
        </w:rPr>
        <w:t>ritères de pureté</w:t>
      </w:r>
    </w:p>
    <w:p w:rsidR="008C7F3C" w:rsidRPr="0061020E" w:rsidRDefault="008C7F3C" w:rsidP="008F6018">
      <w:pPr>
        <w:spacing w:after="120" w:line="240" w:lineRule="auto"/>
        <w:jc w:val="both"/>
        <w:rPr>
          <w:rFonts w:ascii="Rockwell" w:hAnsi="Rockwell" w:cs="Tahoma"/>
          <w:sz w:val="24"/>
          <w:szCs w:val="24"/>
          <w:lang w:val="fr-CA"/>
        </w:rPr>
      </w:pPr>
      <w:r w:rsidRPr="0061020E">
        <w:rPr>
          <w:rFonts w:ascii="Rockwell" w:hAnsi="Rockwell" w:cs="Tahoma"/>
          <w:sz w:val="24"/>
          <w:szCs w:val="24"/>
          <w:lang w:val="fr-CA"/>
        </w:rPr>
        <w:t>Des limites maximales sont fixées pour les impuretés et les substances toxiques, quand celles-ci sont susceptibles d'être apportées en quantité significative dans le procédé industriel courant et les matières premières. Tout changement dans le procédé industriel ou dans les matières premières qui pourrait entraîner une apparition significative de toutes autres impuretés ou de sous-produits</w:t>
      </w:r>
      <w:r w:rsidR="009C126D">
        <w:rPr>
          <w:rFonts w:ascii="Rockwell" w:hAnsi="Rockwell" w:cs="Tahoma"/>
          <w:sz w:val="24"/>
          <w:szCs w:val="24"/>
          <w:lang w:val="fr-CA"/>
        </w:rPr>
        <w:t>,</w:t>
      </w:r>
      <w:r w:rsidRPr="0061020E">
        <w:rPr>
          <w:rFonts w:ascii="Rockwell" w:hAnsi="Rockwell" w:cs="Tahoma"/>
          <w:sz w:val="24"/>
          <w:szCs w:val="24"/>
          <w:lang w:val="fr-CA"/>
        </w:rPr>
        <w:t xml:space="preserve"> doit être signalé à l'utilisateur.</w:t>
      </w:r>
    </w:p>
    <w:p w:rsidR="008C7F3C" w:rsidRPr="0061020E" w:rsidRDefault="008C7F3C" w:rsidP="008F6018">
      <w:pPr>
        <w:spacing w:after="120" w:line="240" w:lineRule="auto"/>
        <w:jc w:val="both"/>
        <w:rPr>
          <w:rFonts w:ascii="Rockwell" w:hAnsi="Rockwell" w:cs="Tahoma"/>
          <w:bCs/>
          <w:sz w:val="24"/>
          <w:szCs w:val="24"/>
          <w:lang w:val="fr-CA"/>
        </w:rPr>
      </w:pPr>
      <w:r w:rsidRPr="0061020E">
        <w:rPr>
          <w:rFonts w:ascii="Rockwell" w:hAnsi="Rockwell" w:cs="Tahoma"/>
          <w:bCs/>
          <w:sz w:val="24"/>
          <w:szCs w:val="24"/>
          <w:lang w:val="fr-CA"/>
        </w:rPr>
        <w:t xml:space="preserve">Les impuretés principales, associées ainsi que les substances toxiques doivent être conformes à la norme </w:t>
      </w:r>
      <w:r w:rsidRPr="0061020E">
        <w:rPr>
          <w:rFonts w:ascii="Rockwell" w:hAnsi="Rockwell" w:cs="Tahoma"/>
          <w:sz w:val="24"/>
          <w:szCs w:val="24"/>
          <w:lang w:val="fr-CA"/>
        </w:rPr>
        <w:t>NF EN 901 :1999</w:t>
      </w:r>
      <w:r w:rsidR="009C126D">
        <w:rPr>
          <w:rFonts w:ascii="Rockwell" w:hAnsi="Rockwell" w:cs="Tahoma"/>
          <w:sz w:val="24"/>
          <w:szCs w:val="24"/>
          <w:lang w:val="fr-CA"/>
        </w:rPr>
        <w:t>,</w:t>
      </w:r>
      <w:r w:rsidRPr="0061020E">
        <w:rPr>
          <w:rFonts w:ascii="Rockwell" w:hAnsi="Rockwell" w:cs="Tahoma"/>
          <w:bCs/>
          <w:sz w:val="24"/>
          <w:szCs w:val="24"/>
          <w:lang w:val="fr-CA"/>
        </w:rPr>
        <w:t xml:space="preserve"> sauf si la mention « pour usage non alimentaire » figure clairement sur l’emballage.</w:t>
      </w:r>
    </w:p>
    <w:p w:rsidR="008C7F3C" w:rsidRPr="0061020E" w:rsidRDefault="005963AE" w:rsidP="008F6018">
      <w:pPr>
        <w:pStyle w:val="Paragraphedeliste"/>
        <w:numPr>
          <w:ilvl w:val="0"/>
          <w:numId w:val="63"/>
        </w:numPr>
        <w:spacing w:after="120" w:line="240" w:lineRule="auto"/>
        <w:jc w:val="both"/>
        <w:rPr>
          <w:rFonts w:ascii="Rockwell" w:hAnsi="Rockwell" w:cs="Tahoma"/>
          <w:b/>
          <w:bCs/>
          <w:caps/>
          <w:sz w:val="24"/>
          <w:szCs w:val="24"/>
          <w:lang w:val="fr-CA"/>
        </w:rPr>
      </w:pPr>
      <w:r w:rsidRPr="0061020E">
        <w:rPr>
          <w:rFonts w:ascii="Rockwell" w:hAnsi="Rockwell" w:cs="Tahoma"/>
          <w:b/>
          <w:bCs/>
          <w:sz w:val="24"/>
          <w:szCs w:val="24"/>
          <w:lang w:val="fr-CA"/>
        </w:rPr>
        <w:t>Conditionnement</w:t>
      </w:r>
    </w:p>
    <w:p w:rsidR="008C7F3C" w:rsidRPr="0061020E" w:rsidRDefault="008C7F3C" w:rsidP="008F6018">
      <w:pPr>
        <w:spacing w:after="120" w:line="240" w:lineRule="auto"/>
        <w:jc w:val="both"/>
        <w:rPr>
          <w:rFonts w:ascii="Rockwell" w:hAnsi="Rockwell" w:cs="Tahoma"/>
          <w:b/>
          <w:bCs/>
          <w:sz w:val="24"/>
          <w:szCs w:val="24"/>
          <w:lang w:val="fr-CA"/>
        </w:rPr>
      </w:pPr>
      <w:r w:rsidRPr="0061020E">
        <w:rPr>
          <w:rFonts w:ascii="Rockwell" w:hAnsi="Rockwell" w:cs="Tahoma"/>
          <w:b/>
          <w:bCs/>
          <w:sz w:val="24"/>
          <w:szCs w:val="24"/>
          <w:lang w:val="fr-CA"/>
        </w:rPr>
        <w:t>Emballage</w:t>
      </w:r>
    </w:p>
    <w:p w:rsidR="008C7F3C" w:rsidRPr="0061020E" w:rsidRDefault="008C7F3C" w:rsidP="008F6018">
      <w:p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L’eau de javel diluée, concentrée et extrait d’eau de javel, ne peuvent être vendues aux consommateurs directement ou par l’intermédiaire des distributeurs, que dans des emballages opaques, fermés avec un bouchon inviolable.</w:t>
      </w:r>
    </w:p>
    <w:p w:rsidR="008C7F3C" w:rsidRPr="0061020E" w:rsidRDefault="008C7F3C" w:rsidP="008F6018">
      <w:pPr>
        <w:spacing w:after="120" w:line="240" w:lineRule="auto"/>
        <w:jc w:val="both"/>
        <w:rPr>
          <w:rFonts w:ascii="Rockwell" w:hAnsi="Rockwell" w:cs="Tahoma"/>
          <w:b/>
          <w:sz w:val="24"/>
          <w:szCs w:val="24"/>
          <w:lang w:val="fr-CA"/>
        </w:rPr>
      </w:pPr>
      <w:r w:rsidRPr="0061020E">
        <w:rPr>
          <w:rFonts w:ascii="Rockwell" w:hAnsi="Rockwell" w:cs="Tahoma"/>
          <w:b/>
          <w:sz w:val="24"/>
          <w:szCs w:val="24"/>
          <w:lang w:val="fr-CA"/>
        </w:rPr>
        <w:t>Étiquetage</w:t>
      </w:r>
    </w:p>
    <w:p w:rsidR="008C7F3C" w:rsidRPr="0061020E" w:rsidRDefault="008C7F3C" w:rsidP="008F6018">
      <w:p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L’eau de javel diluée, concentrée e</w:t>
      </w:r>
      <w:r w:rsidR="009C126D">
        <w:rPr>
          <w:rFonts w:ascii="Rockwell" w:hAnsi="Rockwell" w:cs="Tahoma"/>
          <w:sz w:val="24"/>
          <w:szCs w:val="24"/>
          <w:lang w:val="fr-CA"/>
        </w:rPr>
        <w:t>t extrait d’eau de javel, vendus</w:t>
      </w:r>
      <w:r w:rsidRPr="0061020E">
        <w:rPr>
          <w:rFonts w:ascii="Rockwell" w:hAnsi="Rockwell" w:cs="Tahoma"/>
          <w:sz w:val="24"/>
          <w:szCs w:val="24"/>
          <w:lang w:val="fr-CA"/>
        </w:rPr>
        <w:t xml:space="preserve"> aux consommateurs doivent comporter également, outre les dispositions fixées par la réglementation en vigueur, les indications ci-après</w:t>
      </w:r>
      <w:r w:rsidR="009C126D">
        <w:rPr>
          <w:rFonts w:ascii="Rockwell" w:hAnsi="Rockwell" w:cs="Tahoma"/>
          <w:sz w:val="24"/>
          <w:szCs w:val="24"/>
          <w:lang w:val="fr-CA"/>
        </w:rPr>
        <w:t>,</w:t>
      </w:r>
      <w:r w:rsidRPr="0061020E">
        <w:rPr>
          <w:rFonts w:ascii="Rockwell" w:hAnsi="Rockwell" w:cs="Tahoma"/>
          <w:sz w:val="24"/>
          <w:szCs w:val="24"/>
          <w:lang w:val="fr-CA"/>
        </w:rPr>
        <w:t xml:space="preserve"> rédigées en langue française ou en d’autres langues officiellement reconnues</w:t>
      </w:r>
      <w:r w:rsidR="00436299">
        <w:rPr>
          <w:rFonts w:ascii="Rockwell" w:hAnsi="Rockwell" w:cs="Tahoma"/>
          <w:sz w:val="24"/>
          <w:szCs w:val="24"/>
          <w:lang w:val="fr-CA"/>
        </w:rPr>
        <w:t>,</w:t>
      </w:r>
      <w:r w:rsidRPr="0061020E">
        <w:rPr>
          <w:rFonts w:ascii="Rockwell" w:hAnsi="Rockwell" w:cs="Tahoma"/>
          <w:sz w:val="24"/>
          <w:szCs w:val="24"/>
          <w:lang w:val="fr-CA"/>
        </w:rPr>
        <w:t xml:space="preserve"> apposées de façon apparente en caractères indélébiles :</w:t>
      </w:r>
    </w:p>
    <w:p w:rsidR="008C7F3C" w:rsidRPr="0061020E" w:rsidRDefault="008C7F3C" w:rsidP="008F6018">
      <w:pPr>
        <w:numPr>
          <w:ilvl w:val="0"/>
          <w:numId w:val="38"/>
        </w:numPr>
        <w:spacing w:after="120" w:line="240" w:lineRule="auto"/>
        <w:jc w:val="both"/>
        <w:rPr>
          <w:rFonts w:ascii="Rockwell" w:hAnsi="Rockwell" w:cs="Tahoma"/>
          <w:sz w:val="24"/>
          <w:szCs w:val="24"/>
        </w:rPr>
      </w:pPr>
      <w:r w:rsidRPr="0061020E">
        <w:rPr>
          <w:rFonts w:ascii="Rockwell" w:hAnsi="Rockwell" w:cs="Tahoma"/>
          <w:sz w:val="24"/>
          <w:szCs w:val="24"/>
        </w:rPr>
        <w:t>la dénomination du produit :</w:t>
      </w:r>
    </w:p>
    <w:p w:rsidR="008C7F3C" w:rsidRPr="0061020E" w:rsidRDefault="008C7F3C"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 xml:space="preserve">le nombre de degrés </w:t>
      </w:r>
      <w:r w:rsidR="00440898" w:rsidRPr="0061020E">
        <w:rPr>
          <w:rFonts w:ascii="Rockwell" w:hAnsi="Rockwell" w:cs="Tahoma"/>
          <w:sz w:val="24"/>
          <w:szCs w:val="24"/>
          <w:lang w:val="fr-CA"/>
        </w:rPr>
        <w:t>chlorométriques</w:t>
      </w:r>
      <w:r w:rsidRPr="0061020E">
        <w:rPr>
          <w:rFonts w:ascii="Rockwell" w:hAnsi="Rockwell" w:cs="Tahoma"/>
          <w:sz w:val="24"/>
          <w:szCs w:val="24"/>
          <w:lang w:val="fr-CA"/>
        </w:rPr>
        <w:t xml:space="preserve"> inscrits sous la forme « X degrés …chl »</w:t>
      </w:r>
    </w:p>
    <w:p w:rsidR="008C7F3C" w:rsidRPr="0061020E" w:rsidRDefault="008C7F3C"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 nom et l’adresse du fabricant ou du reconditionneur, ou une marque déposée ;</w:t>
      </w:r>
    </w:p>
    <w:p w:rsidR="008C7F3C" w:rsidRPr="0061020E" w:rsidRDefault="008C7F3C"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 volume net du produit ;</w:t>
      </w:r>
    </w:p>
    <w:p w:rsidR="008C7F3C" w:rsidRPr="0061020E" w:rsidRDefault="008C7F3C"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la mention «  à conserver au frais et à l’abri de la lumière et du soleil »</w:t>
      </w:r>
    </w:p>
    <w:p w:rsidR="008C7F3C" w:rsidRPr="0061020E" w:rsidRDefault="008C7F3C" w:rsidP="008F6018">
      <w:pPr>
        <w:numPr>
          <w:ilvl w:val="0"/>
          <w:numId w:val="38"/>
        </w:numPr>
        <w:spacing w:after="120" w:line="240" w:lineRule="auto"/>
        <w:jc w:val="both"/>
        <w:rPr>
          <w:rFonts w:ascii="Rockwell" w:hAnsi="Rockwell" w:cs="Tahoma"/>
          <w:sz w:val="24"/>
          <w:szCs w:val="24"/>
        </w:rPr>
      </w:pPr>
      <w:r w:rsidRPr="0061020E">
        <w:rPr>
          <w:rFonts w:ascii="Rockwell" w:hAnsi="Rockwell" w:cs="Tahoma"/>
          <w:sz w:val="24"/>
          <w:szCs w:val="24"/>
        </w:rPr>
        <w:t>la date de fabrication.</w:t>
      </w:r>
    </w:p>
    <w:p w:rsidR="008C7F3C" w:rsidRPr="0061020E" w:rsidRDefault="008C7F3C" w:rsidP="008F6018">
      <w:pPr>
        <w:numPr>
          <w:ilvl w:val="0"/>
          <w:numId w:val="38"/>
        </w:numPr>
        <w:spacing w:after="120" w:line="240" w:lineRule="auto"/>
        <w:jc w:val="both"/>
        <w:rPr>
          <w:rFonts w:ascii="Rockwell" w:hAnsi="Rockwell" w:cs="Tahoma"/>
          <w:sz w:val="24"/>
          <w:szCs w:val="24"/>
        </w:rPr>
      </w:pPr>
      <w:r w:rsidRPr="0061020E">
        <w:rPr>
          <w:rFonts w:ascii="Rockwell" w:hAnsi="Rockwell" w:cs="Tahoma"/>
          <w:sz w:val="24"/>
          <w:szCs w:val="24"/>
        </w:rPr>
        <w:t>le numéro de lot</w:t>
      </w:r>
    </w:p>
    <w:p w:rsidR="00E85A38" w:rsidRPr="003A5B6E" w:rsidRDefault="00E85A38" w:rsidP="008F6018">
      <w:pPr>
        <w:spacing w:after="120" w:line="240" w:lineRule="auto"/>
        <w:jc w:val="both"/>
        <w:rPr>
          <w:rFonts w:ascii="Rockwell" w:hAnsi="Rockwell"/>
          <w:sz w:val="24"/>
          <w:szCs w:val="24"/>
          <w:lang w:val="fr-CA"/>
        </w:rPr>
      </w:pPr>
      <w:r w:rsidRPr="003A5B6E">
        <w:rPr>
          <w:rFonts w:ascii="Rockwell" w:hAnsi="Rockwell"/>
          <w:b/>
          <w:bCs/>
          <w:sz w:val="24"/>
          <w:szCs w:val="24"/>
          <w:lang w:val="fr-CA"/>
        </w:rPr>
        <w:t>Remarque :</w:t>
      </w:r>
      <w:r w:rsidRPr="003A5B6E">
        <w:rPr>
          <w:rFonts w:ascii="Rockwell" w:hAnsi="Rockwell"/>
          <w:sz w:val="24"/>
          <w:szCs w:val="24"/>
          <w:lang w:val="fr-CA"/>
        </w:rPr>
        <w:t xml:space="preserve"> cette dernière mention doit être sur la bouteille. </w:t>
      </w:r>
    </w:p>
    <w:p w:rsidR="00E85A38" w:rsidRPr="0061020E" w:rsidRDefault="00E85A38" w:rsidP="008F6018">
      <w:pPr>
        <w:spacing w:after="120" w:line="240" w:lineRule="auto"/>
        <w:jc w:val="both"/>
        <w:rPr>
          <w:rFonts w:ascii="Rockwell" w:hAnsi="Rockwell" w:cs="Tahoma"/>
          <w:sz w:val="24"/>
          <w:szCs w:val="24"/>
          <w:lang w:val="fr-CA"/>
        </w:rPr>
      </w:pPr>
      <w:r w:rsidRPr="0061020E">
        <w:rPr>
          <w:rFonts w:ascii="Rockwell" w:hAnsi="Rockwell" w:cs="Tahoma"/>
          <w:sz w:val="24"/>
          <w:szCs w:val="24"/>
          <w:lang w:val="fr-CA"/>
        </w:rPr>
        <w:lastRenderedPageBreak/>
        <w:t xml:space="preserve">En outre, pour les produits de titre égal ou supérieur à 40 degrés </w:t>
      </w:r>
      <w:r w:rsidR="00440898" w:rsidRPr="0061020E">
        <w:rPr>
          <w:rFonts w:ascii="Rockwell" w:hAnsi="Rockwell" w:cs="Tahoma"/>
          <w:sz w:val="24"/>
          <w:szCs w:val="24"/>
          <w:lang w:val="fr-CA"/>
        </w:rPr>
        <w:t>chlorométriques</w:t>
      </w:r>
      <w:r w:rsidRPr="0061020E">
        <w:rPr>
          <w:rFonts w:ascii="Rockwell" w:hAnsi="Rockwell" w:cs="Tahoma"/>
          <w:sz w:val="24"/>
          <w:szCs w:val="24"/>
          <w:lang w:val="fr-CA"/>
        </w:rPr>
        <w:t xml:space="preserve"> vendues en emballage de capacité égale ou supérieur à </w:t>
      </w:r>
      <w:smartTag w:uri="urn:schemas-microsoft-com:office:smarttags" w:element="metricconverter">
        <w:smartTagPr>
          <w:attr w:name="ProductID" w:val="5 litres"/>
        </w:smartTagPr>
        <w:r w:rsidRPr="0061020E">
          <w:rPr>
            <w:rFonts w:ascii="Rockwell" w:hAnsi="Rockwell" w:cs="Tahoma"/>
            <w:sz w:val="24"/>
            <w:szCs w:val="24"/>
            <w:lang w:val="fr-CA"/>
          </w:rPr>
          <w:t>5 litres</w:t>
        </w:r>
      </w:smartTag>
      <w:r w:rsidRPr="0061020E">
        <w:rPr>
          <w:rFonts w:ascii="Rockwell" w:hAnsi="Rockwell" w:cs="Tahoma"/>
          <w:sz w:val="24"/>
          <w:szCs w:val="24"/>
          <w:lang w:val="fr-CA"/>
        </w:rPr>
        <w:t>, l’étiquetage doit mentionner :</w:t>
      </w:r>
    </w:p>
    <w:p w:rsidR="00E85A38" w:rsidRPr="0061020E" w:rsidRDefault="00E85A38"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 xml:space="preserve">les conditions d’utilisation fixées par le fabricant ; </w:t>
      </w:r>
    </w:p>
    <w:p w:rsidR="00E85A38" w:rsidRPr="0061020E" w:rsidRDefault="00E85A38"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 pictogramme de danger apposé sous la mention ;</w:t>
      </w:r>
    </w:p>
    <w:p w:rsidR="00E85A38" w:rsidRPr="0061020E" w:rsidRDefault="00E85A38" w:rsidP="008F6018">
      <w:pPr>
        <w:numPr>
          <w:ilvl w:val="0"/>
          <w:numId w:val="38"/>
        </w:numPr>
        <w:spacing w:after="120" w:line="240" w:lineRule="auto"/>
        <w:jc w:val="both"/>
        <w:rPr>
          <w:rFonts w:ascii="Rockwell" w:hAnsi="Rockwell" w:cs="Tahoma"/>
          <w:sz w:val="24"/>
          <w:szCs w:val="24"/>
          <w:lang w:val="fr-CA"/>
        </w:rPr>
      </w:pPr>
      <w:r w:rsidRPr="0061020E">
        <w:rPr>
          <w:rFonts w:ascii="Rockwell" w:hAnsi="Rockwell" w:cs="Tahoma"/>
          <w:sz w:val="24"/>
          <w:szCs w:val="24"/>
          <w:lang w:val="fr-CA"/>
        </w:rPr>
        <w:t>les dispositions des premiers soins</w:t>
      </w:r>
      <w:r w:rsidR="009C126D">
        <w:rPr>
          <w:rFonts w:ascii="Rockwell" w:hAnsi="Rockwell" w:cs="Tahoma"/>
          <w:sz w:val="24"/>
          <w:szCs w:val="24"/>
          <w:lang w:val="fr-CA"/>
        </w:rPr>
        <w:t>,</w:t>
      </w:r>
      <w:r w:rsidRPr="0061020E">
        <w:rPr>
          <w:rFonts w:ascii="Rockwell" w:hAnsi="Rockwell" w:cs="Tahoma"/>
          <w:sz w:val="24"/>
          <w:szCs w:val="24"/>
          <w:lang w:val="fr-CA"/>
        </w:rPr>
        <w:t xml:space="preserve"> en cas de contact accidentel.</w:t>
      </w:r>
    </w:p>
    <w:p w:rsidR="00E85A38" w:rsidRPr="0061020E" w:rsidRDefault="00E85A38" w:rsidP="008F6018">
      <w:pPr>
        <w:spacing w:after="120" w:line="240" w:lineRule="auto"/>
        <w:jc w:val="both"/>
        <w:rPr>
          <w:rFonts w:ascii="Rockwell" w:hAnsi="Rockwell"/>
          <w:sz w:val="24"/>
          <w:szCs w:val="24"/>
          <w:lang w:val="fr-CA"/>
        </w:rPr>
      </w:pPr>
    </w:p>
    <w:p w:rsidR="00E85A38" w:rsidRPr="0061020E" w:rsidRDefault="00E85A38" w:rsidP="008F6018">
      <w:pPr>
        <w:pStyle w:val="Titre4"/>
        <w:numPr>
          <w:ilvl w:val="0"/>
          <w:numId w:val="101"/>
        </w:numPr>
        <w:spacing w:before="0" w:after="120" w:line="240" w:lineRule="auto"/>
        <w:jc w:val="both"/>
        <w:rPr>
          <w:rFonts w:ascii="Rockwell" w:hAnsi="Rockwell"/>
          <w:color w:val="auto"/>
          <w:sz w:val="24"/>
          <w:szCs w:val="24"/>
        </w:rPr>
      </w:pPr>
      <w:bookmarkStart w:id="278" w:name="_Toc462905198"/>
      <w:bookmarkStart w:id="279" w:name="_Toc462905413"/>
      <w:bookmarkStart w:id="280" w:name="_Toc462906261"/>
      <w:bookmarkStart w:id="281" w:name="_Toc462906402"/>
      <w:bookmarkStart w:id="282" w:name="_Toc462982508"/>
      <w:bookmarkStart w:id="283" w:name="_Toc505063315"/>
      <w:bookmarkEnd w:id="278"/>
      <w:bookmarkEnd w:id="279"/>
      <w:bookmarkEnd w:id="280"/>
      <w:bookmarkEnd w:id="281"/>
      <w:r w:rsidRPr="0061020E">
        <w:rPr>
          <w:rFonts w:ascii="Rockwell" w:hAnsi="Rockwell"/>
          <w:color w:val="auto"/>
          <w:sz w:val="24"/>
          <w:szCs w:val="24"/>
        </w:rPr>
        <w:t>Le savon</w:t>
      </w:r>
      <w:bookmarkEnd w:id="282"/>
      <w:bookmarkEnd w:id="283"/>
      <w:r w:rsidRPr="0061020E">
        <w:rPr>
          <w:rFonts w:ascii="Rockwell" w:hAnsi="Rockwell"/>
          <w:color w:val="auto"/>
          <w:sz w:val="24"/>
          <w:szCs w:val="24"/>
        </w:rPr>
        <w:t xml:space="preserve"> </w:t>
      </w:r>
    </w:p>
    <w:p w:rsidR="00E85A38" w:rsidRPr="0061020E" w:rsidRDefault="00E85A38" w:rsidP="008F6018">
      <w:pPr>
        <w:pStyle w:val="Paragraphedeliste"/>
        <w:numPr>
          <w:ilvl w:val="0"/>
          <w:numId w:val="63"/>
        </w:numPr>
        <w:spacing w:after="120" w:line="240" w:lineRule="auto"/>
        <w:jc w:val="both"/>
        <w:rPr>
          <w:rFonts w:ascii="Rockwell" w:hAnsi="Rockwell"/>
          <w:b/>
          <w:sz w:val="24"/>
          <w:szCs w:val="24"/>
          <w:lang w:val="fr-CA"/>
        </w:rPr>
      </w:pPr>
      <w:r w:rsidRPr="0061020E">
        <w:rPr>
          <w:rFonts w:ascii="Rockwell" w:hAnsi="Rockwell"/>
          <w:b/>
          <w:sz w:val="24"/>
          <w:szCs w:val="24"/>
          <w:lang w:val="fr-CA"/>
        </w:rPr>
        <w:t xml:space="preserve">Classification </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savon de toilette doit être fourni dans les types suivants, selon les prescriptions:</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Type 1 - Destiné au  bain personnel </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Type 2 - Destiné au bain personnel et au nettoyage général.</w:t>
      </w:r>
    </w:p>
    <w:p w:rsidR="009D0260" w:rsidRPr="0061020E" w:rsidRDefault="009D0260" w:rsidP="008F6018">
      <w:pPr>
        <w:spacing w:after="120" w:line="240" w:lineRule="auto"/>
        <w:jc w:val="both"/>
        <w:rPr>
          <w:rFonts w:ascii="Rockwell" w:hAnsi="Rockwell"/>
          <w:sz w:val="24"/>
          <w:szCs w:val="24"/>
          <w:lang w:val="fr-CA"/>
        </w:rPr>
      </w:pPr>
    </w:p>
    <w:p w:rsidR="00E85A38" w:rsidRPr="0061020E" w:rsidRDefault="00E85A38" w:rsidP="008F6018">
      <w:pPr>
        <w:pStyle w:val="Paragraphedeliste"/>
        <w:numPr>
          <w:ilvl w:val="0"/>
          <w:numId w:val="63"/>
        </w:numPr>
        <w:spacing w:after="120" w:line="240" w:lineRule="auto"/>
        <w:jc w:val="both"/>
        <w:rPr>
          <w:rFonts w:ascii="Rockwell" w:hAnsi="Rockwell"/>
          <w:b/>
          <w:sz w:val="24"/>
          <w:szCs w:val="24"/>
          <w:lang w:val="fr-CA"/>
        </w:rPr>
      </w:pPr>
      <w:r w:rsidRPr="0061020E">
        <w:rPr>
          <w:rFonts w:ascii="Rockwell" w:hAnsi="Rockwell"/>
          <w:b/>
          <w:sz w:val="24"/>
          <w:szCs w:val="24"/>
          <w:lang w:val="fr-CA"/>
        </w:rPr>
        <w:t xml:space="preserve">Exigences générales </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savon doit  se présenter sous forme  de  barre ou de pain, avoir une couleur pâle et uniforme  et il ne doit pas dégager d’odeur  désagréable, tant  à la réception  qu’à la  dissolution dans l’eau chaude.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 savon  doit mousser facilement dans l’eau douce froide et flotter ou ne pas flotter, selon les prescriptions </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savon ne doit produire aucun effet  nocif sur la peau.</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savon doit être conforme à toutes les lois et à tous les règlements du gouvernement ( par exemple, la loi sur les aliments et drogues).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Après avoir été entreposé à une température de 20 ±2°C et à une humidité relative de 50±5% pendant un an, le  savon doit  conserver sa forme initiale, être exempt de déformation dimensionnelle et présenter une couleur entièrement uniforme.</w:t>
      </w:r>
    </w:p>
    <w:p w:rsidR="00440898" w:rsidRPr="0061020E" w:rsidRDefault="00440898" w:rsidP="008F6018">
      <w:pPr>
        <w:spacing w:after="120" w:line="240" w:lineRule="auto"/>
        <w:jc w:val="both"/>
        <w:rPr>
          <w:rFonts w:ascii="Rockwell" w:hAnsi="Rockwell"/>
          <w:sz w:val="24"/>
          <w:szCs w:val="24"/>
          <w:lang w:val="fr-CA"/>
        </w:rPr>
      </w:pPr>
    </w:p>
    <w:p w:rsidR="00E85A38" w:rsidRPr="0061020E" w:rsidRDefault="00E85A38" w:rsidP="008F6018">
      <w:pPr>
        <w:pStyle w:val="Paragraphedeliste"/>
        <w:numPr>
          <w:ilvl w:val="0"/>
          <w:numId w:val="63"/>
        </w:numPr>
        <w:spacing w:after="120" w:line="240" w:lineRule="auto"/>
        <w:jc w:val="both"/>
        <w:rPr>
          <w:rFonts w:ascii="Rockwell" w:hAnsi="Rockwell"/>
          <w:b/>
          <w:sz w:val="24"/>
          <w:szCs w:val="24"/>
          <w:lang w:val="fr-CA"/>
        </w:rPr>
      </w:pPr>
      <w:r w:rsidRPr="0061020E">
        <w:rPr>
          <w:rFonts w:ascii="Rockwell" w:hAnsi="Rockwell"/>
          <w:b/>
          <w:sz w:val="24"/>
          <w:szCs w:val="24"/>
          <w:lang w:val="fr-CA"/>
        </w:rPr>
        <w:t>Exigences particulières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pourcentage d’acides  gras doit être déterminé</w:t>
      </w:r>
      <w:r w:rsidR="009C126D">
        <w:rPr>
          <w:rFonts w:ascii="Rockwell" w:hAnsi="Rockwell"/>
          <w:sz w:val="24"/>
          <w:szCs w:val="24"/>
          <w:lang w:val="fr-CA"/>
        </w:rPr>
        <w:t>,</w:t>
      </w:r>
      <w:r w:rsidRPr="0061020E">
        <w:rPr>
          <w:rFonts w:ascii="Rockwell" w:hAnsi="Rockwell"/>
          <w:sz w:val="24"/>
          <w:szCs w:val="24"/>
          <w:lang w:val="fr-CA"/>
        </w:rPr>
        <w:t xml:space="preserve"> à partir de l’échantillon  dans son état de réception. Tous les autres résultats, sauf l’indice d’acidité des acides  gras, doivent être exprimés en fonction d’un  échantillon contenant 74% d’acide gras pour le type 1 et 60% pour le type 2. </w:t>
      </w:r>
    </w:p>
    <w:p w:rsidR="00D21D99" w:rsidRPr="0061020E" w:rsidRDefault="00D21D99" w:rsidP="008F6018">
      <w:pPr>
        <w:spacing w:after="120" w:line="240" w:lineRule="auto"/>
        <w:jc w:val="both"/>
        <w:rPr>
          <w:rFonts w:ascii="Rockwell" w:hAnsi="Rockwell"/>
          <w:sz w:val="24"/>
          <w:szCs w:val="24"/>
          <w:lang w:val="fr-CA"/>
        </w:rPr>
      </w:pPr>
    </w:p>
    <w:p w:rsidR="00E85A38" w:rsidRPr="0061020E" w:rsidRDefault="00E85A38" w:rsidP="008F6018">
      <w:pPr>
        <w:pStyle w:val="Titre2"/>
        <w:numPr>
          <w:ilvl w:val="0"/>
          <w:numId w:val="95"/>
        </w:numPr>
        <w:spacing w:before="0" w:after="120" w:line="240" w:lineRule="auto"/>
        <w:jc w:val="both"/>
        <w:rPr>
          <w:rFonts w:ascii="Rockwell" w:hAnsi="Rockwell"/>
          <w:color w:val="auto"/>
          <w:sz w:val="24"/>
          <w:szCs w:val="24"/>
        </w:rPr>
      </w:pPr>
      <w:bookmarkStart w:id="284" w:name="_Toc462414213"/>
      <w:bookmarkStart w:id="285" w:name="_Toc462414464"/>
      <w:bookmarkStart w:id="286" w:name="_Toc462414648"/>
      <w:bookmarkStart w:id="287" w:name="_Toc462414832"/>
      <w:bookmarkStart w:id="288" w:name="_Toc462414214"/>
      <w:bookmarkStart w:id="289" w:name="_Toc462414465"/>
      <w:bookmarkStart w:id="290" w:name="_Toc462414649"/>
      <w:bookmarkStart w:id="291" w:name="_Toc462414833"/>
      <w:bookmarkStart w:id="292" w:name="_Toc462414215"/>
      <w:bookmarkStart w:id="293" w:name="_Toc462414466"/>
      <w:bookmarkStart w:id="294" w:name="_Toc462414650"/>
      <w:bookmarkStart w:id="295" w:name="_Toc462414834"/>
      <w:bookmarkStart w:id="296" w:name="_Toc462414216"/>
      <w:bookmarkStart w:id="297" w:name="_Toc462414467"/>
      <w:bookmarkStart w:id="298" w:name="_Toc462414651"/>
      <w:bookmarkStart w:id="299" w:name="_Toc462414835"/>
      <w:bookmarkStart w:id="300" w:name="_Toc462982509"/>
      <w:bookmarkStart w:id="301" w:name="_Toc503784935"/>
      <w:bookmarkStart w:id="302" w:name="_Toc505063316"/>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61020E">
        <w:rPr>
          <w:rFonts w:ascii="Rockwell" w:hAnsi="Rockwell"/>
          <w:color w:val="auto"/>
          <w:sz w:val="24"/>
          <w:szCs w:val="24"/>
        </w:rPr>
        <w:t>Quelques cas de références aux normes internationales</w:t>
      </w:r>
      <w:bookmarkEnd w:id="300"/>
      <w:bookmarkEnd w:id="301"/>
      <w:bookmarkEnd w:id="302"/>
    </w:p>
    <w:p w:rsidR="00E85A38" w:rsidRPr="00440898" w:rsidRDefault="00E85A38" w:rsidP="008F6018">
      <w:pPr>
        <w:pStyle w:val="Titre3"/>
        <w:numPr>
          <w:ilvl w:val="0"/>
          <w:numId w:val="100"/>
        </w:numPr>
        <w:spacing w:before="0" w:after="120" w:line="240" w:lineRule="auto"/>
        <w:jc w:val="both"/>
        <w:rPr>
          <w:rFonts w:ascii="Rockwell" w:hAnsi="Rockwell"/>
          <w:color w:val="auto"/>
          <w:sz w:val="24"/>
          <w:szCs w:val="24"/>
        </w:rPr>
      </w:pPr>
      <w:bookmarkStart w:id="303" w:name="_Toc462982510"/>
      <w:bookmarkStart w:id="304" w:name="_Toc505063317"/>
      <w:r w:rsidRPr="00440898">
        <w:rPr>
          <w:rFonts w:ascii="Rockwell" w:hAnsi="Rockwell"/>
          <w:color w:val="auto"/>
          <w:sz w:val="24"/>
          <w:szCs w:val="24"/>
        </w:rPr>
        <w:t>Cas des meubles frigorifiques</w:t>
      </w:r>
      <w:bookmarkEnd w:id="303"/>
      <w:bookmarkEnd w:id="304"/>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meubles frigorifiques faisant l’objet de marché public doivent se conformer aux exigences suivantes :</w:t>
      </w:r>
    </w:p>
    <w:p w:rsidR="00F17B55" w:rsidRPr="0061020E" w:rsidRDefault="00F17B55"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05" w:name="_Toc523825760"/>
      <w:bookmarkStart w:id="306" w:name="_Toc11140980"/>
      <w:bookmarkStart w:id="307" w:name="_Toc462982511"/>
      <w:bookmarkStart w:id="308" w:name="_Toc505063318"/>
      <w:r w:rsidRPr="0061020E">
        <w:rPr>
          <w:rFonts w:ascii="Rockwell" w:hAnsi="Rockwell"/>
          <w:color w:val="auto"/>
          <w:sz w:val="24"/>
          <w:szCs w:val="24"/>
        </w:rPr>
        <w:t>a) Résistance mécanique et rigidité</w:t>
      </w:r>
      <w:bookmarkEnd w:id="305"/>
      <w:bookmarkEnd w:id="306"/>
      <w:bookmarkEnd w:id="307"/>
      <w:bookmarkEnd w:id="308"/>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 meuble et ses parties doivent être construits avec une résistance mécanique et une rigidité appropriées </w:t>
      </w:r>
      <w:r w:rsidR="009C126D">
        <w:rPr>
          <w:rFonts w:ascii="Rockwell" w:hAnsi="Rockwell"/>
          <w:sz w:val="24"/>
          <w:szCs w:val="24"/>
          <w:lang w:val="fr-CA"/>
        </w:rPr>
        <w:t>aux</w:t>
      </w:r>
      <w:r w:rsidRPr="0061020E">
        <w:rPr>
          <w:rFonts w:ascii="Rockwell" w:hAnsi="Rockwell"/>
          <w:sz w:val="24"/>
          <w:szCs w:val="24"/>
          <w:lang w:val="fr-CA"/>
        </w:rPr>
        <w:t xml:space="preserve"> conditions normales de manutention, de transport et d’utilisation. Une attention toute particulière doit être apportée aux éléments suivants:</w:t>
      </w:r>
    </w:p>
    <w:p w:rsidR="00E85A38" w:rsidRPr="0061020E" w:rsidRDefault="00E85A38" w:rsidP="008F6018">
      <w:pPr>
        <w:pStyle w:val="Listenumros"/>
        <w:numPr>
          <w:ilvl w:val="0"/>
          <w:numId w:val="63"/>
        </w:numPr>
        <w:tabs>
          <w:tab w:val="clear" w:pos="400"/>
        </w:tabs>
        <w:spacing w:after="120" w:line="240" w:lineRule="auto"/>
        <w:rPr>
          <w:rFonts w:ascii="Rockwell" w:hAnsi="Rockwell"/>
          <w:sz w:val="24"/>
          <w:szCs w:val="24"/>
        </w:rPr>
      </w:pPr>
      <w:r w:rsidRPr="0061020E">
        <w:rPr>
          <w:rFonts w:ascii="Rockwell" w:hAnsi="Rockwell"/>
          <w:sz w:val="24"/>
          <w:szCs w:val="24"/>
        </w:rPr>
        <w:lastRenderedPageBreak/>
        <w:t>les aménagements intérieurs, dont étagères, paniers, rails, etc., et leurs supports, doivent être suffisamment résistants pour le service exigé;</w:t>
      </w:r>
    </w:p>
    <w:p w:rsidR="00E85A38" w:rsidRPr="0061020E" w:rsidRDefault="00E85A38" w:rsidP="008F6018">
      <w:pPr>
        <w:pStyle w:val="Listenumros"/>
        <w:numPr>
          <w:ilvl w:val="0"/>
          <w:numId w:val="25"/>
        </w:numPr>
        <w:tabs>
          <w:tab w:val="clear" w:pos="400"/>
        </w:tabs>
        <w:spacing w:after="120" w:line="240" w:lineRule="auto"/>
        <w:rPr>
          <w:rFonts w:ascii="Rockwell" w:hAnsi="Rockwell"/>
          <w:sz w:val="24"/>
          <w:szCs w:val="24"/>
        </w:rPr>
      </w:pPr>
      <w:r w:rsidRPr="0061020E">
        <w:rPr>
          <w:rFonts w:ascii="Rockwell" w:hAnsi="Rockwell"/>
          <w:sz w:val="24"/>
          <w:szCs w:val="24"/>
        </w:rPr>
        <w:t>si des étagères, des paniers, des plateaux ou des tiroirs coulissants sont installés, ils doivent conserver leur forme et leur facilité de mouvement</w:t>
      </w:r>
      <w:r w:rsidR="009C126D">
        <w:rPr>
          <w:rFonts w:ascii="Rockwell" w:hAnsi="Rockwell"/>
          <w:sz w:val="24"/>
          <w:szCs w:val="24"/>
        </w:rPr>
        <w:t>,</w:t>
      </w:r>
      <w:r w:rsidRPr="0061020E">
        <w:rPr>
          <w:rFonts w:ascii="Rockwell" w:hAnsi="Rockwell"/>
          <w:sz w:val="24"/>
          <w:szCs w:val="24"/>
        </w:rPr>
        <w:t xml:space="preserve"> lorsqu’ils sont entièrement chargés;</w:t>
      </w:r>
    </w:p>
    <w:p w:rsidR="00E85A38" w:rsidRPr="0061020E" w:rsidRDefault="00E85A38" w:rsidP="008F6018">
      <w:pPr>
        <w:pStyle w:val="Listenumros"/>
        <w:numPr>
          <w:ilvl w:val="0"/>
          <w:numId w:val="25"/>
        </w:numPr>
        <w:tabs>
          <w:tab w:val="clear" w:pos="400"/>
        </w:tabs>
        <w:spacing w:after="120" w:line="240" w:lineRule="auto"/>
        <w:rPr>
          <w:rFonts w:ascii="Rockwell" w:hAnsi="Rockwell"/>
          <w:sz w:val="24"/>
          <w:szCs w:val="24"/>
        </w:rPr>
      </w:pPr>
      <w:r w:rsidRPr="0061020E">
        <w:rPr>
          <w:rFonts w:ascii="Rockwell" w:hAnsi="Rockwell"/>
          <w:sz w:val="24"/>
          <w:szCs w:val="24"/>
        </w:rPr>
        <w:t>tous les équipements qui sont munis de butées pour éviter tout enlèvement accidentel doivent être autoportants</w:t>
      </w:r>
      <w:r w:rsidR="009C126D">
        <w:rPr>
          <w:rFonts w:ascii="Rockwell" w:hAnsi="Rockwell"/>
          <w:sz w:val="24"/>
          <w:szCs w:val="24"/>
        </w:rPr>
        <w:t>,</w:t>
      </w:r>
      <w:r w:rsidRPr="0061020E">
        <w:rPr>
          <w:rFonts w:ascii="Rockwell" w:hAnsi="Rockwell"/>
          <w:sz w:val="24"/>
          <w:szCs w:val="24"/>
        </w:rPr>
        <w:t xml:space="preserve"> lorsqu’ils sont entièrement char</w:t>
      </w:r>
      <w:r w:rsidR="009C126D">
        <w:rPr>
          <w:rFonts w:ascii="Rockwell" w:hAnsi="Rockwell"/>
          <w:sz w:val="24"/>
          <w:szCs w:val="24"/>
        </w:rPr>
        <w:t>gés et retirés jusqu’aux butées.</w:t>
      </w:r>
    </w:p>
    <w:p w:rsidR="00E85A38" w:rsidRDefault="00E85A38" w:rsidP="008F6018">
      <w:pPr>
        <w:pStyle w:val="Titre4"/>
        <w:spacing w:before="0" w:after="120" w:line="240" w:lineRule="auto"/>
        <w:jc w:val="both"/>
        <w:rPr>
          <w:rFonts w:ascii="Rockwell" w:hAnsi="Rockwell"/>
          <w:sz w:val="24"/>
          <w:szCs w:val="24"/>
        </w:rPr>
      </w:pPr>
      <w:bookmarkStart w:id="309" w:name="_Toc462982512"/>
      <w:bookmarkStart w:id="310" w:name="_Toc505063319"/>
      <w:r w:rsidRPr="0061020E">
        <w:rPr>
          <w:rFonts w:ascii="Rockwell" w:hAnsi="Rockwell"/>
          <w:sz w:val="24"/>
          <w:szCs w:val="24"/>
        </w:rPr>
        <w:t>les butées.</w:t>
      </w:r>
      <w:bookmarkEnd w:id="309"/>
      <w:bookmarkEnd w:id="310"/>
    </w:p>
    <w:p w:rsidR="00E85A38" w:rsidRPr="0061020E" w:rsidRDefault="00E85A38" w:rsidP="008F6018">
      <w:pPr>
        <w:pStyle w:val="Titre4"/>
        <w:spacing w:before="0" w:after="120" w:line="240" w:lineRule="auto"/>
        <w:jc w:val="both"/>
        <w:rPr>
          <w:rFonts w:ascii="Rockwell" w:hAnsi="Rockwell"/>
          <w:color w:val="auto"/>
          <w:sz w:val="24"/>
          <w:szCs w:val="24"/>
        </w:rPr>
      </w:pPr>
      <w:bookmarkStart w:id="311" w:name="_Toc523825761"/>
      <w:bookmarkStart w:id="312" w:name="_Toc11140981"/>
      <w:bookmarkStart w:id="313" w:name="_Toc462982513"/>
      <w:bookmarkStart w:id="314" w:name="_Toc505063320"/>
      <w:r w:rsidRPr="0061020E">
        <w:rPr>
          <w:rFonts w:ascii="Rockwell" w:hAnsi="Rockwell"/>
          <w:color w:val="auto"/>
          <w:sz w:val="24"/>
          <w:szCs w:val="24"/>
        </w:rPr>
        <w:t>b) Tuyaux et raccordements</w:t>
      </w:r>
      <w:bookmarkEnd w:id="311"/>
      <w:bookmarkEnd w:id="312"/>
      <w:bookmarkEnd w:id="313"/>
      <w:bookmarkEnd w:id="314"/>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tuyaux et les raccordements sur des parties mobiles ou montées de manière résiliente doivent être agencés</w:t>
      </w:r>
      <w:r w:rsidR="009C126D">
        <w:rPr>
          <w:rFonts w:ascii="Rockwell" w:hAnsi="Rockwell"/>
          <w:sz w:val="24"/>
          <w:szCs w:val="24"/>
          <w:lang w:val="fr-CA"/>
        </w:rPr>
        <w:t>,</w:t>
      </w:r>
      <w:r w:rsidRPr="0061020E">
        <w:rPr>
          <w:rFonts w:ascii="Rockwell" w:hAnsi="Rockwell"/>
          <w:sz w:val="24"/>
          <w:szCs w:val="24"/>
          <w:lang w:val="fr-CA"/>
        </w:rPr>
        <w:t xml:space="preserve"> de manière à ne pas s’encrasser ou à ne pas transmettre de vibrations nuisibles à d’autres parties. Tous les autres tuyaux et raccordements doivent être fixés solidement et une longueur libre suffisante et/ou des suppresseurs de vibration doit/doivent être prévu(e)s pour éviter la défaillance due à la fatigue. Si besoin est, des tuyaux et des vannes doivent être isolés thermiquement</w:t>
      </w:r>
      <w:r w:rsidR="009C126D">
        <w:rPr>
          <w:rFonts w:ascii="Rockwell" w:hAnsi="Rockwell"/>
          <w:sz w:val="24"/>
          <w:szCs w:val="24"/>
          <w:lang w:val="fr-CA"/>
        </w:rPr>
        <w:t>,</w:t>
      </w:r>
      <w:r w:rsidRPr="0061020E">
        <w:rPr>
          <w:rFonts w:ascii="Rockwell" w:hAnsi="Rockwell"/>
          <w:sz w:val="24"/>
          <w:szCs w:val="24"/>
          <w:lang w:val="fr-CA"/>
        </w:rPr>
        <w:t xml:space="preserve"> de manière appropriée.</w:t>
      </w:r>
    </w:p>
    <w:p w:rsidR="00F17B55" w:rsidRPr="0061020E" w:rsidRDefault="00F17B55"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15" w:name="_Toc523825762"/>
      <w:bookmarkStart w:id="316" w:name="_Toc11140982"/>
      <w:bookmarkStart w:id="317" w:name="_Toc462982514"/>
      <w:bookmarkStart w:id="318" w:name="_Toc505063321"/>
      <w:r w:rsidRPr="0061020E">
        <w:rPr>
          <w:rFonts w:ascii="Rockwell" w:hAnsi="Rockwell"/>
          <w:color w:val="auto"/>
          <w:sz w:val="24"/>
          <w:szCs w:val="24"/>
        </w:rPr>
        <w:t>c) Évacuation des constats</w:t>
      </w:r>
      <w:bookmarkEnd w:id="315"/>
      <w:bookmarkEnd w:id="316"/>
      <w:bookmarkEnd w:id="317"/>
      <w:bookmarkEnd w:id="318"/>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Si des évacuations, des bacs récepteurs ou des bacs d’évaporation sont installés, ils doivent avoir une grande capacité et doivent être facilement accessibles et nettoyable</w:t>
      </w:r>
      <w:r w:rsidR="009C126D">
        <w:rPr>
          <w:rFonts w:ascii="Rockwell" w:hAnsi="Rockwell"/>
          <w:sz w:val="24"/>
          <w:szCs w:val="24"/>
          <w:lang w:val="fr-CA"/>
        </w:rPr>
        <w:t>s</w:t>
      </w:r>
      <w:r w:rsidRPr="0061020E">
        <w:rPr>
          <w:rFonts w:ascii="Rockwell" w:hAnsi="Rockwell"/>
          <w:sz w:val="24"/>
          <w:szCs w:val="24"/>
          <w:lang w:val="fr-CA"/>
        </w:rPr>
        <w:t>.</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Tous les bacs d’eau de dégivrage ou de condensat, ou groupe de bacs, exigeant d’être vidés manuellement, doivent avoir une capacité équivalente à au moins 48 h de fonctionnement normal dans la classe d’ambiance appropriée, pour laquelle le meuble est destiné.</w:t>
      </w:r>
    </w:p>
    <w:p w:rsidR="00F17B55" w:rsidRPr="0061020E" w:rsidRDefault="00F17B55"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19" w:name="_Toc523825763"/>
      <w:bookmarkStart w:id="320" w:name="_Toc11140983"/>
      <w:bookmarkStart w:id="321" w:name="_Toc462982515"/>
      <w:bookmarkStart w:id="322" w:name="_Toc505063322"/>
      <w:r w:rsidRPr="0061020E">
        <w:rPr>
          <w:rFonts w:ascii="Rockwell" w:hAnsi="Rockwell"/>
          <w:color w:val="auto"/>
          <w:sz w:val="24"/>
          <w:szCs w:val="24"/>
        </w:rPr>
        <w:t>d) Meubles frigorifiques fermés (de type libre-service)</w:t>
      </w:r>
      <w:bookmarkEnd w:id="319"/>
      <w:bookmarkEnd w:id="320"/>
      <w:bookmarkEnd w:id="321"/>
      <w:bookmarkEnd w:id="322"/>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meubles frigorifiques fermés doivent satisfaire à certaines exigences spéciales</w:t>
      </w:r>
      <w:r w:rsidR="009C126D">
        <w:rPr>
          <w:rFonts w:ascii="Rockwell" w:hAnsi="Rockwell"/>
          <w:sz w:val="24"/>
          <w:szCs w:val="24"/>
          <w:lang w:val="fr-CA"/>
        </w:rPr>
        <w:t>,</w:t>
      </w:r>
      <w:r w:rsidRPr="0061020E">
        <w:rPr>
          <w:rFonts w:ascii="Rockwell" w:hAnsi="Rockwell"/>
          <w:sz w:val="24"/>
          <w:szCs w:val="24"/>
          <w:lang w:val="fr-CA"/>
        </w:rPr>
        <w:t xml:space="preserve"> telles qu’indiquées ci-dessous.</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couvercles et portes à charnières doivent être ouverts à de différents angles allant jusqu'à 60°.</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Les portes et les couvercles transparents doivent être exempts de condensation à la classe d'ambiance spécifiée par le fabricant. </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les conditions normales d’emploi, les fermoirs et les charnières de portes doivent avoir une action régulière et sûre, et être conçues pour fonctionner correctement sans usure excessive.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Lorsque des portes ou des couvercles, équipé(e)s pour assurer un joint d’air à l’espace réfrigéré, sont fermé(e)s, ils ou elles doivent empêcher toute fuite excessive d’air ambiant à l’intérieur.</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portes ou les couvercles ne doivent pas s’ouvrir d’eux-mêmes.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joint doit être en un matériau dont les caractéristiques sont compatibles avec les conditions de fonctionnement (en particulier, les températures). Si le dispositif de fixation est mécanique, une butée ou d’autres moyens doit ou doivent être prévu(s) pour éviter une déformation excessive du joint.</w:t>
      </w:r>
    </w:p>
    <w:p w:rsidR="00F17B55" w:rsidRPr="0061020E" w:rsidRDefault="00F17B55"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23" w:name="_Toc462982516"/>
      <w:bookmarkStart w:id="324" w:name="_Toc505063323"/>
      <w:r w:rsidRPr="0061020E">
        <w:rPr>
          <w:rFonts w:ascii="Rockwell" w:hAnsi="Rockwell"/>
          <w:color w:val="auto"/>
          <w:sz w:val="24"/>
          <w:szCs w:val="24"/>
        </w:rPr>
        <w:t xml:space="preserve">e) </w:t>
      </w:r>
      <w:bookmarkStart w:id="325" w:name="_Toc523825764"/>
      <w:bookmarkStart w:id="326" w:name="_Toc11140984"/>
      <w:r w:rsidRPr="0061020E">
        <w:rPr>
          <w:rFonts w:ascii="Rockwell" w:hAnsi="Rockwell"/>
          <w:color w:val="auto"/>
          <w:sz w:val="24"/>
          <w:szCs w:val="24"/>
        </w:rPr>
        <w:t>Joints et soudures</w:t>
      </w:r>
      <w:bookmarkEnd w:id="323"/>
      <w:bookmarkEnd w:id="324"/>
      <w:bookmarkEnd w:id="325"/>
      <w:bookmarkEnd w:id="326"/>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Tous les joints et soudures de construction dans le volume utile doivent empêcher l’accumulation de substances potentiellement contaminantes.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Tous les joints et soudures de construction dans le volume utile doivent permettre l’enlèvement aisé de tous les dépôts de substances potentiellement contaminantes.</w:t>
      </w:r>
    </w:p>
    <w:p w:rsidR="00D21D99" w:rsidRPr="0061020E" w:rsidRDefault="00D21D99"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27" w:name="_Toc465053907"/>
      <w:bookmarkStart w:id="328" w:name="_Toc466261554"/>
      <w:bookmarkStart w:id="329" w:name="_Toc523825766"/>
      <w:bookmarkStart w:id="330" w:name="_Toc11140986"/>
      <w:bookmarkStart w:id="331" w:name="_Toc21333967"/>
      <w:bookmarkStart w:id="332" w:name="_Toc87346520"/>
      <w:bookmarkStart w:id="333" w:name="_Toc96241052"/>
      <w:bookmarkStart w:id="334" w:name="_Toc106759384"/>
      <w:bookmarkStart w:id="335" w:name="_Toc367267570"/>
      <w:bookmarkStart w:id="336" w:name="_Toc370913918"/>
      <w:bookmarkStart w:id="337" w:name="_Toc372552750"/>
      <w:bookmarkStart w:id="338" w:name="_Toc462982517"/>
      <w:bookmarkStart w:id="339" w:name="_Toc505063324"/>
      <w:r w:rsidRPr="0061020E">
        <w:rPr>
          <w:rFonts w:ascii="Rockwell" w:hAnsi="Rockwell"/>
          <w:color w:val="auto"/>
          <w:sz w:val="24"/>
          <w:szCs w:val="24"/>
        </w:rPr>
        <w:t>f) Matériaux</w:t>
      </w:r>
      <w:bookmarkEnd w:id="327"/>
      <w:bookmarkEnd w:id="328"/>
      <w:bookmarkEnd w:id="329"/>
      <w:bookmarkEnd w:id="330"/>
      <w:bookmarkEnd w:id="331"/>
      <w:bookmarkEnd w:id="332"/>
      <w:bookmarkEnd w:id="333"/>
      <w:bookmarkEnd w:id="334"/>
      <w:bookmarkEnd w:id="335"/>
      <w:bookmarkEnd w:id="336"/>
      <w:bookmarkEnd w:id="337"/>
      <w:bookmarkEnd w:id="338"/>
      <w:bookmarkEnd w:id="339"/>
    </w:p>
    <w:p w:rsidR="00E85A38" w:rsidRPr="0061020E" w:rsidRDefault="00E85A38" w:rsidP="008F6018">
      <w:pPr>
        <w:spacing w:after="120" w:line="240" w:lineRule="auto"/>
        <w:jc w:val="both"/>
        <w:rPr>
          <w:rFonts w:ascii="Rockwell" w:hAnsi="Rockwell"/>
          <w:sz w:val="24"/>
          <w:szCs w:val="24"/>
        </w:rPr>
      </w:pPr>
      <w:r w:rsidRPr="0061020E">
        <w:rPr>
          <w:rFonts w:ascii="Rockwell" w:hAnsi="Rockwell"/>
          <w:sz w:val="24"/>
          <w:szCs w:val="24"/>
        </w:rPr>
        <w:t>Généralités</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matériaux doivent être durables et ne doivent pas favoriser le développement de moisissure ni dégager des odeurs.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Dans des conditions normales d’emploi, les matériaux en contact avec les denrées alimentaires doivent résister à la moisissure et ne doivent ni être toxiques ni les contaminer.</w:t>
      </w:r>
    </w:p>
    <w:p w:rsidR="004763A4" w:rsidRPr="0061020E" w:rsidRDefault="004763A4" w:rsidP="008F6018">
      <w:pPr>
        <w:spacing w:after="120" w:line="240" w:lineRule="auto"/>
        <w:jc w:val="both"/>
        <w:rPr>
          <w:rFonts w:ascii="Rockwell" w:hAnsi="Rockwell"/>
          <w:sz w:val="24"/>
          <w:szCs w:val="24"/>
          <w:lang w:val="fr-CA"/>
        </w:rPr>
      </w:pPr>
    </w:p>
    <w:p w:rsidR="00E85A38" w:rsidRPr="0061020E" w:rsidRDefault="00E85A38" w:rsidP="008F6018">
      <w:pPr>
        <w:spacing w:after="120" w:line="240" w:lineRule="auto"/>
        <w:jc w:val="both"/>
        <w:rPr>
          <w:rFonts w:ascii="Rockwell" w:eastAsiaTheme="majorEastAsia" w:hAnsi="Rockwell" w:cstheme="majorBidi"/>
          <w:b/>
          <w:bCs/>
          <w:i/>
          <w:iCs/>
          <w:color w:val="5B9BD5" w:themeColor="accent1"/>
          <w:sz w:val="24"/>
          <w:szCs w:val="24"/>
          <w:lang w:val="fr-CA"/>
        </w:rPr>
      </w:pPr>
      <w:r w:rsidRPr="0061020E">
        <w:rPr>
          <w:rFonts w:ascii="Rockwell" w:eastAsiaTheme="majorEastAsia" w:hAnsi="Rockwell" w:cstheme="majorBidi"/>
          <w:b/>
          <w:bCs/>
          <w:i/>
          <w:iCs/>
          <w:color w:val="5B9BD5" w:themeColor="accent1"/>
          <w:sz w:val="24"/>
          <w:szCs w:val="24"/>
          <w:lang w:val="fr-CA"/>
        </w:rPr>
        <w:t>Résistance à l’usure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revêtements internes et externes doivent résister à l’usure et pouvoir être nettoyés</w:t>
      </w:r>
      <w:r w:rsidR="002A5B9C">
        <w:rPr>
          <w:rFonts w:ascii="Rockwell" w:hAnsi="Rockwell"/>
          <w:sz w:val="24"/>
          <w:szCs w:val="24"/>
          <w:lang w:val="fr-CA"/>
        </w:rPr>
        <w:t>,</w:t>
      </w:r>
      <w:r w:rsidRPr="0061020E">
        <w:rPr>
          <w:rFonts w:ascii="Rockwell" w:hAnsi="Rockwell"/>
          <w:sz w:val="24"/>
          <w:szCs w:val="24"/>
          <w:lang w:val="fr-CA"/>
        </w:rPr>
        <w:t xml:space="preserve"> de manière efficace et hygiénique. Les revêtements ne doivent pas se fissurer, s’ébrécher, s’écailler, s’enlever ou se ramollir, dans les conditions normales d’emploi ou pendant le nettoyage.</w:t>
      </w:r>
    </w:p>
    <w:p w:rsidR="00E85A38" w:rsidRPr="0061020E" w:rsidRDefault="00E85A38" w:rsidP="008F6018">
      <w:pPr>
        <w:spacing w:after="120" w:line="240" w:lineRule="auto"/>
        <w:jc w:val="both"/>
        <w:rPr>
          <w:rFonts w:ascii="Rockwell" w:eastAsiaTheme="majorEastAsia" w:hAnsi="Rockwell" w:cstheme="majorBidi"/>
          <w:b/>
          <w:bCs/>
          <w:i/>
          <w:iCs/>
          <w:color w:val="5B9BD5" w:themeColor="accent1"/>
          <w:sz w:val="24"/>
          <w:szCs w:val="24"/>
          <w:lang w:val="fr-CA"/>
        </w:rPr>
      </w:pPr>
      <w:r w:rsidRPr="0061020E">
        <w:rPr>
          <w:rFonts w:ascii="Rockwell" w:eastAsiaTheme="majorEastAsia" w:hAnsi="Rockwell" w:cstheme="majorBidi"/>
          <w:b/>
          <w:bCs/>
          <w:i/>
          <w:iCs/>
          <w:color w:val="5B9BD5" w:themeColor="accent1"/>
          <w:sz w:val="24"/>
          <w:szCs w:val="24"/>
          <w:lang w:val="fr-CA"/>
        </w:rPr>
        <w:t>Résistance à la corrosion</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pièces métalliques utilisées dans la construction de meubles doivent avoir une résistance à la corrosion appropriée à leur emplacement et fonction.</w:t>
      </w:r>
    </w:p>
    <w:p w:rsidR="00E85A38" w:rsidRPr="0061020E" w:rsidRDefault="00E85A38" w:rsidP="008F6018">
      <w:pPr>
        <w:spacing w:after="120" w:line="240" w:lineRule="auto"/>
        <w:jc w:val="both"/>
        <w:rPr>
          <w:rFonts w:ascii="Rockwell" w:eastAsiaTheme="majorEastAsia" w:hAnsi="Rockwell" w:cstheme="majorBidi"/>
          <w:b/>
          <w:bCs/>
          <w:i/>
          <w:iCs/>
          <w:color w:val="5B9BD5" w:themeColor="accent1"/>
          <w:sz w:val="24"/>
          <w:szCs w:val="24"/>
          <w:lang w:val="fr-CA"/>
        </w:rPr>
      </w:pPr>
      <w:r w:rsidRPr="0061020E">
        <w:rPr>
          <w:rFonts w:ascii="Rockwell" w:eastAsiaTheme="majorEastAsia" w:hAnsi="Rockwell" w:cstheme="majorBidi"/>
          <w:b/>
          <w:bCs/>
          <w:i/>
          <w:iCs/>
          <w:color w:val="5B9BD5" w:themeColor="accent1"/>
          <w:sz w:val="24"/>
          <w:szCs w:val="24"/>
          <w:lang w:val="fr-CA"/>
        </w:rPr>
        <w:t>Isolation thermique</w:t>
      </w:r>
    </w:p>
    <w:p w:rsidR="00E85A38" w:rsidRPr="0061020E" w:rsidRDefault="00E85A38" w:rsidP="008F6018">
      <w:pPr>
        <w:spacing w:after="120" w:line="240" w:lineRule="auto"/>
        <w:jc w:val="both"/>
        <w:rPr>
          <w:rFonts w:ascii="Rockwell" w:eastAsiaTheme="majorEastAsia" w:hAnsi="Rockwell" w:cstheme="majorBidi"/>
          <w:b/>
          <w:bCs/>
          <w:i/>
          <w:iCs/>
          <w:color w:val="5B9BD5" w:themeColor="accent1"/>
          <w:sz w:val="24"/>
          <w:szCs w:val="24"/>
          <w:lang w:val="fr-CA"/>
        </w:rPr>
      </w:pPr>
      <w:r w:rsidRPr="0061020E">
        <w:rPr>
          <w:rFonts w:ascii="Rockwell" w:eastAsiaTheme="majorEastAsia" w:hAnsi="Rockwell" w:cstheme="majorBidi"/>
          <w:b/>
          <w:bCs/>
          <w:i/>
          <w:iCs/>
          <w:color w:val="5B9BD5" w:themeColor="accent1"/>
          <w:sz w:val="24"/>
          <w:szCs w:val="24"/>
          <w:lang w:val="fr-CA"/>
        </w:rPr>
        <w:t>Efficacité</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L’isolation thermique doit être efficace et fixée en permanence. En particulier, le matériau d’isolation ne doit pas être sujet à retrait et ne doit pas permettre une accumulation d’humidité, dans les conditions normales de fonctionnement.</w:t>
      </w:r>
    </w:p>
    <w:p w:rsidR="004763A4" w:rsidRPr="0061020E" w:rsidRDefault="004763A4" w:rsidP="008F6018">
      <w:pPr>
        <w:spacing w:after="120" w:line="240" w:lineRule="auto"/>
        <w:jc w:val="both"/>
        <w:rPr>
          <w:rFonts w:ascii="Rockwell" w:hAnsi="Rockwell"/>
          <w:sz w:val="24"/>
          <w:szCs w:val="24"/>
          <w:lang w:val="fr-CA"/>
        </w:rPr>
      </w:pPr>
    </w:p>
    <w:p w:rsidR="00E85A38" w:rsidRPr="0061020E" w:rsidRDefault="00E85A38" w:rsidP="008F6018">
      <w:pPr>
        <w:spacing w:after="120" w:line="240" w:lineRule="auto"/>
        <w:jc w:val="both"/>
        <w:rPr>
          <w:rFonts w:ascii="Rockwell" w:hAnsi="Rockwell"/>
          <w:sz w:val="24"/>
          <w:szCs w:val="24"/>
        </w:rPr>
      </w:pPr>
      <w:bookmarkStart w:id="340" w:name="_Toc523825772"/>
      <w:bookmarkStart w:id="341" w:name="_Toc11140992"/>
      <w:r w:rsidRPr="0061020E">
        <w:rPr>
          <w:rFonts w:ascii="Rockwell" w:hAnsi="Rockwell"/>
          <w:sz w:val="24"/>
          <w:szCs w:val="24"/>
        </w:rPr>
        <w:t>Barrière de vapeur</w:t>
      </w:r>
      <w:bookmarkEnd w:id="340"/>
      <w:bookmarkEnd w:id="341"/>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Des moyens appropriés doivent être utilisés pour éviter la détérioration de l’isolation thermique par l’entrée d’humidité.</w:t>
      </w:r>
    </w:p>
    <w:p w:rsidR="004763A4" w:rsidRPr="0061020E" w:rsidRDefault="004763A4" w:rsidP="008F6018">
      <w:pPr>
        <w:spacing w:after="120" w:line="240" w:lineRule="auto"/>
        <w:jc w:val="both"/>
        <w:rPr>
          <w:rFonts w:ascii="Rockwell" w:hAnsi="Rockwell"/>
          <w:sz w:val="24"/>
          <w:szCs w:val="24"/>
          <w:lang w:val="fr-CA"/>
        </w:rPr>
      </w:pPr>
    </w:p>
    <w:p w:rsidR="00E85A38" w:rsidRPr="0061020E" w:rsidRDefault="00E85A38" w:rsidP="008F6018">
      <w:pPr>
        <w:spacing w:after="120" w:line="240" w:lineRule="auto"/>
        <w:jc w:val="both"/>
        <w:rPr>
          <w:rFonts w:ascii="Rockwell" w:hAnsi="Rockwell"/>
          <w:sz w:val="24"/>
          <w:szCs w:val="24"/>
        </w:rPr>
      </w:pPr>
      <w:bookmarkStart w:id="342" w:name="_Toc523825773"/>
      <w:bookmarkStart w:id="343" w:name="_Toc11140993"/>
      <w:r w:rsidRPr="0061020E">
        <w:rPr>
          <w:rFonts w:ascii="Rockwell" w:hAnsi="Rockwell"/>
          <w:sz w:val="24"/>
          <w:szCs w:val="24"/>
        </w:rPr>
        <w:t>Confinement du matériau d’isolation</w:t>
      </w:r>
      <w:bookmarkEnd w:id="342"/>
      <w:bookmarkEnd w:id="343"/>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Si l’espace d’isolation est ventilé à l’intérieur, il doit être garanti que des particules du matériau d’isolation ne puissent pas s’échapper dans le compartiment d’exposition des denrées alimentaires.</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Pour des matériaux d’isolation fibreux, il ne doit pas être possible d’insérer une sonde rigide de 1 mm de diamètre par une ouverture quelconque qui permet d’accéder au matériau d’isolation, la sonde étant appliquée avec une force négligeable.</w:t>
      </w:r>
    </w:p>
    <w:p w:rsidR="00E85A38" w:rsidRPr="0061020E" w:rsidRDefault="00E85A38"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44" w:name="_Toc465053909"/>
      <w:bookmarkStart w:id="345" w:name="_Toc466261556"/>
      <w:bookmarkStart w:id="346" w:name="_Toc523825774"/>
      <w:bookmarkStart w:id="347" w:name="_Toc11140994"/>
      <w:bookmarkStart w:id="348" w:name="_Toc21333969"/>
      <w:bookmarkStart w:id="349" w:name="_Toc87346522"/>
      <w:bookmarkStart w:id="350" w:name="_Toc96241054"/>
      <w:bookmarkStart w:id="351" w:name="_Toc106759386"/>
      <w:bookmarkStart w:id="352" w:name="_Toc367267572"/>
      <w:bookmarkStart w:id="353" w:name="_Toc370913920"/>
      <w:bookmarkStart w:id="354" w:name="_Toc372552752"/>
      <w:bookmarkStart w:id="355" w:name="_Toc462982518"/>
      <w:bookmarkStart w:id="356" w:name="_Toc505063325"/>
      <w:r w:rsidRPr="0061020E">
        <w:rPr>
          <w:rFonts w:ascii="Rockwell" w:hAnsi="Rockwell"/>
          <w:color w:val="auto"/>
          <w:sz w:val="24"/>
          <w:szCs w:val="24"/>
        </w:rPr>
        <w:lastRenderedPageBreak/>
        <w:t>g) Système de réfrigération</w:t>
      </w:r>
      <w:bookmarkEnd w:id="344"/>
      <w:bookmarkEnd w:id="345"/>
      <w:bookmarkEnd w:id="346"/>
      <w:bookmarkEnd w:id="347"/>
      <w:bookmarkEnd w:id="348"/>
      <w:bookmarkEnd w:id="349"/>
      <w:bookmarkEnd w:id="350"/>
      <w:bookmarkEnd w:id="351"/>
      <w:bookmarkEnd w:id="352"/>
      <w:bookmarkEnd w:id="353"/>
      <w:bookmarkEnd w:id="354"/>
      <w:bookmarkEnd w:id="355"/>
      <w:bookmarkEnd w:id="356"/>
    </w:p>
    <w:p w:rsidR="00E85A38" w:rsidRPr="0008121B" w:rsidRDefault="00E85A38" w:rsidP="008F6018">
      <w:pPr>
        <w:spacing w:after="120" w:line="240" w:lineRule="auto"/>
        <w:jc w:val="both"/>
        <w:rPr>
          <w:rFonts w:ascii="Rockwell" w:hAnsi="Rockwell"/>
          <w:color w:val="00B0F0"/>
          <w:sz w:val="24"/>
          <w:szCs w:val="24"/>
        </w:rPr>
      </w:pPr>
      <w:bookmarkStart w:id="357" w:name="_Toc523825775"/>
      <w:bookmarkStart w:id="358" w:name="_Toc11140995"/>
      <w:bookmarkStart w:id="359" w:name="_Toc462982519"/>
      <w:r w:rsidRPr="0008121B">
        <w:rPr>
          <w:rFonts w:ascii="Rockwell" w:hAnsi="Rockwell"/>
          <w:color w:val="00B0F0"/>
          <w:sz w:val="24"/>
          <w:szCs w:val="24"/>
        </w:rPr>
        <w:t>Conception et construction</w:t>
      </w:r>
      <w:bookmarkEnd w:id="357"/>
      <w:bookmarkEnd w:id="358"/>
      <w:bookmarkEnd w:id="359"/>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conception et la construction de toutes les parties du système de réfrigération soumises à une pression interne doivent tenir compte de la pression de service maximale à laquelle elles sont exposées</w:t>
      </w:r>
      <w:r w:rsidR="009C126D">
        <w:rPr>
          <w:rFonts w:ascii="Rockwell" w:hAnsi="Rockwell"/>
          <w:sz w:val="24"/>
          <w:szCs w:val="24"/>
          <w:lang w:val="fr-CA"/>
        </w:rPr>
        <w:t>,</w:t>
      </w:r>
      <w:r w:rsidRPr="0061020E">
        <w:rPr>
          <w:rFonts w:ascii="Rockwell" w:hAnsi="Rockwell"/>
          <w:sz w:val="24"/>
          <w:szCs w:val="24"/>
          <w:lang w:val="fr-CA"/>
        </w:rPr>
        <w:t xml:space="preserve"> lorsque le meuble fonctionne ou est à l’arrêt.</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Pour les meubles frigorifiques de vente avec groupe de condensation intégré ou composants de celui-ci qui sont remplis de fluide frigorigène avant le transport, la température ambiante maximale pendant celui-ci doit être prise en ligne de compte. Tous les composants contenant du fluide frigorigène doivent être conformes à l’ISO/FDIS 5149-2.</w:t>
      </w:r>
    </w:p>
    <w:p w:rsidR="00D21D99" w:rsidRPr="0061020E" w:rsidRDefault="00D21D99" w:rsidP="008F6018">
      <w:pPr>
        <w:spacing w:after="120" w:line="240" w:lineRule="auto"/>
        <w:jc w:val="both"/>
        <w:rPr>
          <w:rFonts w:ascii="Rockwell" w:hAnsi="Rockwell"/>
          <w:sz w:val="24"/>
          <w:szCs w:val="24"/>
          <w:lang w:val="fr-CA"/>
        </w:rPr>
      </w:pPr>
    </w:p>
    <w:p w:rsidR="00E85A38" w:rsidRPr="0008121B" w:rsidRDefault="00E85A38" w:rsidP="008F6018">
      <w:pPr>
        <w:spacing w:after="120" w:line="240" w:lineRule="auto"/>
        <w:jc w:val="both"/>
        <w:rPr>
          <w:rFonts w:ascii="Rockwell" w:hAnsi="Rockwell"/>
          <w:color w:val="00B0F0"/>
          <w:sz w:val="24"/>
          <w:szCs w:val="24"/>
        </w:rPr>
      </w:pPr>
      <w:bookmarkStart w:id="360" w:name="_Toc523825776"/>
      <w:bookmarkStart w:id="361" w:name="_Toc11140996"/>
      <w:bookmarkStart w:id="362" w:name="_Toc462982520"/>
      <w:r w:rsidRPr="0008121B">
        <w:rPr>
          <w:rFonts w:ascii="Rockwell" w:hAnsi="Rockwell"/>
          <w:color w:val="00B0F0"/>
          <w:sz w:val="24"/>
          <w:szCs w:val="24"/>
        </w:rPr>
        <w:t>Condensation</w:t>
      </w:r>
      <w:bookmarkEnd w:id="360"/>
      <w:bookmarkEnd w:id="361"/>
      <w:bookmarkEnd w:id="362"/>
    </w:p>
    <w:p w:rsidR="00E85A38" w:rsidRDefault="00E85A38" w:rsidP="008F6018">
      <w:pPr>
        <w:spacing w:after="120" w:line="240" w:lineRule="auto"/>
        <w:jc w:val="both"/>
        <w:rPr>
          <w:rFonts w:ascii="Rockwell" w:hAnsi="Rockwell"/>
          <w:sz w:val="24"/>
          <w:szCs w:val="24"/>
          <w:lang w:val="fr-CA"/>
        </w:rPr>
      </w:pPr>
      <w:r w:rsidRPr="0008121B">
        <w:rPr>
          <w:rFonts w:ascii="Rockwell" w:hAnsi="Rockwell"/>
          <w:sz w:val="24"/>
          <w:szCs w:val="24"/>
          <w:lang w:val="fr-CA"/>
        </w:rPr>
        <w:t>Des moyens appropriés doivent empêcher la condensation d’eau, sur des surfaces froides du meuble et ses parties, d’affecter de manière préjudiciable le fonctionnement du système de réfrigération ou ses commandes.</w:t>
      </w:r>
    </w:p>
    <w:p w:rsidR="00E85A38" w:rsidRPr="0008121B" w:rsidRDefault="00E85A38" w:rsidP="008F6018">
      <w:pPr>
        <w:spacing w:after="120" w:line="240" w:lineRule="auto"/>
        <w:jc w:val="both"/>
        <w:rPr>
          <w:rFonts w:ascii="Rockwell" w:hAnsi="Rockwell"/>
          <w:color w:val="00B0F0"/>
          <w:sz w:val="24"/>
          <w:szCs w:val="24"/>
        </w:rPr>
      </w:pPr>
      <w:bookmarkStart w:id="363" w:name="_Toc523825777"/>
      <w:bookmarkStart w:id="364" w:name="_Toc11140997"/>
      <w:bookmarkStart w:id="365" w:name="_Toc462982521"/>
      <w:r w:rsidRPr="0008121B">
        <w:rPr>
          <w:rFonts w:ascii="Rockwell" w:hAnsi="Rockwell"/>
          <w:color w:val="00B0F0"/>
          <w:sz w:val="24"/>
          <w:szCs w:val="24"/>
        </w:rPr>
        <w:t>Protection du système</w:t>
      </w:r>
      <w:bookmarkEnd w:id="363"/>
      <w:bookmarkEnd w:id="364"/>
      <w:bookmarkEnd w:id="365"/>
    </w:p>
    <w:p w:rsidR="00E85A38" w:rsidRPr="0008121B" w:rsidRDefault="00E85A38" w:rsidP="008F6018">
      <w:pPr>
        <w:spacing w:after="120" w:line="240" w:lineRule="auto"/>
        <w:jc w:val="both"/>
        <w:rPr>
          <w:rFonts w:ascii="Rockwell" w:hAnsi="Rockwell"/>
          <w:sz w:val="24"/>
          <w:szCs w:val="24"/>
          <w:lang w:val="fr-CA"/>
        </w:rPr>
      </w:pPr>
      <w:r w:rsidRPr="0008121B">
        <w:rPr>
          <w:rFonts w:ascii="Rockwell" w:hAnsi="Rockwell"/>
          <w:sz w:val="24"/>
          <w:szCs w:val="24"/>
          <w:lang w:val="fr-CA"/>
        </w:rPr>
        <w:t>Pour les meubles équipés de portes ou de couvercles, le système de réfrigération ne doit subir aucun dommage</w:t>
      </w:r>
      <w:r w:rsidR="009C126D">
        <w:rPr>
          <w:rFonts w:ascii="Rockwell" w:hAnsi="Rockwell"/>
          <w:sz w:val="24"/>
          <w:szCs w:val="24"/>
          <w:lang w:val="fr-CA"/>
        </w:rPr>
        <w:t>,</w:t>
      </w:r>
      <w:r w:rsidRPr="0008121B">
        <w:rPr>
          <w:rFonts w:ascii="Rockwell" w:hAnsi="Rockwell"/>
          <w:sz w:val="24"/>
          <w:szCs w:val="24"/>
          <w:lang w:val="fr-CA"/>
        </w:rPr>
        <w:t xml:space="preserve"> si une porte ou un couvercle quelconque dans le meuble est laissé(e) ouvert(e), alors que celui-ci fonctionne à une température ambiante correspondant à la classe d’ambiance (voir Tableau 3) pour laquelle le meuble est destiné.</w:t>
      </w:r>
    </w:p>
    <w:p w:rsidR="00E85A38" w:rsidRPr="0008121B" w:rsidRDefault="00E85A38" w:rsidP="008F6018">
      <w:pPr>
        <w:spacing w:after="120" w:line="240" w:lineRule="auto"/>
        <w:jc w:val="both"/>
        <w:rPr>
          <w:rFonts w:ascii="Rockwell" w:hAnsi="Rockwell"/>
          <w:sz w:val="24"/>
          <w:szCs w:val="24"/>
          <w:lang w:val="fr-CA"/>
        </w:rPr>
      </w:pPr>
      <w:r w:rsidRPr="0008121B">
        <w:rPr>
          <w:rFonts w:ascii="Rockwell" w:hAnsi="Rockwell"/>
          <w:sz w:val="24"/>
          <w:szCs w:val="24"/>
          <w:lang w:val="fr-CA"/>
        </w:rPr>
        <w:t>Lorsque la porte ou le couvercle est laissé(e) ouvert(e), dans les conditions normales de fonctionnement (par exemple, pendant le chargement du produit), ou est laissé(e) ouvert(e) accidentellement, un dispositif quelconque de protection automatique contre les surcharges du moteur peut être mis en action.</w:t>
      </w:r>
    </w:p>
    <w:p w:rsidR="00E85A38" w:rsidRPr="0008121B" w:rsidRDefault="00E85A38" w:rsidP="008F6018">
      <w:pPr>
        <w:spacing w:after="120" w:line="240" w:lineRule="auto"/>
        <w:jc w:val="both"/>
        <w:rPr>
          <w:color w:val="00B0F0"/>
          <w:sz w:val="24"/>
          <w:szCs w:val="24"/>
        </w:rPr>
      </w:pPr>
      <w:bookmarkStart w:id="366" w:name="_Toc523825778"/>
      <w:bookmarkStart w:id="367" w:name="_Toc11140998"/>
      <w:bookmarkStart w:id="368" w:name="_Toc462982522"/>
      <w:r w:rsidRPr="0008121B">
        <w:rPr>
          <w:rFonts w:ascii="Rockwell" w:hAnsi="Rockwell"/>
          <w:color w:val="00B0F0"/>
          <w:sz w:val="24"/>
          <w:szCs w:val="24"/>
        </w:rPr>
        <w:t>Fluide frigorigène</w:t>
      </w:r>
      <w:bookmarkEnd w:id="366"/>
      <w:bookmarkEnd w:id="367"/>
      <w:bookmarkEnd w:id="368"/>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Lorsqu’une décision a été prise sur le fluide frigorigène à utiliser pour le système, l’attention doit se porter sur les risques possibles associés à l’emploi de certains fluides frigorigènes et milieux de transfert de chaleur ou fluide frigoporteur, en raison de leur toxicité, inflammabilité, etc. L'ISO/FDIS 5149-2 fournit des informations sur ce point.</w:t>
      </w:r>
    </w:p>
    <w:p w:rsidR="00EC554E" w:rsidRPr="0061020E" w:rsidRDefault="00EC554E"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69" w:name="_Toc367267573"/>
      <w:bookmarkStart w:id="370" w:name="_Toc370913921"/>
      <w:bookmarkStart w:id="371" w:name="_Toc372552753"/>
      <w:bookmarkStart w:id="372" w:name="_Toc462982523"/>
      <w:bookmarkStart w:id="373" w:name="_Toc505063326"/>
      <w:r w:rsidRPr="0061020E">
        <w:rPr>
          <w:rFonts w:ascii="Rockwell" w:hAnsi="Rockwell"/>
          <w:color w:val="auto"/>
          <w:sz w:val="24"/>
          <w:szCs w:val="24"/>
        </w:rPr>
        <w:t>h) Composants électriques</w:t>
      </w:r>
      <w:bookmarkEnd w:id="369"/>
      <w:bookmarkEnd w:id="370"/>
      <w:bookmarkEnd w:id="371"/>
      <w:bookmarkEnd w:id="372"/>
      <w:bookmarkEnd w:id="373"/>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composants électriques doivent être conformes à la CEI 60335-2-89 et la CEI 60335-1.</w:t>
      </w:r>
    </w:p>
    <w:p w:rsidR="00E85A38" w:rsidRPr="00240F97" w:rsidRDefault="00E85A38" w:rsidP="008F6018">
      <w:pPr>
        <w:spacing w:after="120" w:line="240" w:lineRule="auto"/>
        <w:jc w:val="both"/>
        <w:rPr>
          <w:rFonts w:ascii="Rockwell" w:hAnsi="Rockwell"/>
          <w:color w:val="00B0F0"/>
          <w:sz w:val="24"/>
          <w:szCs w:val="24"/>
        </w:rPr>
      </w:pPr>
      <w:bookmarkStart w:id="374" w:name="_Toc367267574"/>
      <w:bookmarkStart w:id="375" w:name="_Toc370913922"/>
      <w:bookmarkStart w:id="376" w:name="_Toc372552754"/>
      <w:bookmarkStart w:id="377" w:name="_Toc462982524"/>
      <w:r w:rsidRPr="00240F97">
        <w:rPr>
          <w:rFonts w:ascii="Rockwell" w:hAnsi="Rockwell"/>
          <w:color w:val="00B0F0"/>
          <w:sz w:val="24"/>
          <w:szCs w:val="24"/>
        </w:rPr>
        <w:t>Affichage de la température</w:t>
      </w:r>
      <w:bookmarkEnd w:id="374"/>
      <w:bookmarkEnd w:id="375"/>
      <w:bookmarkEnd w:id="376"/>
      <w:bookmarkEnd w:id="377"/>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meubles doivent incorporer un appareil d’affichage de température indiquant la température de l’air dans les meubles frigorifiques de vente, pour fournir une indication sur le fonctionnement de l’équipement de réfrigération, ainsi que des informations sur son état de fonctionnement.</w:t>
      </w:r>
    </w:p>
    <w:p w:rsidR="00E85A38" w:rsidRPr="0061020E" w:rsidRDefault="00E85A38" w:rsidP="008F6018">
      <w:pPr>
        <w:pStyle w:val="Note"/>
        <w:spacing w:after="120" w:line="240" w:lineRule="auto"/>
        <w:rPr>
          <w:rFonts w:ascii="Rockwell" w:hAnsi="Rockwell"/>
          <w:sz w:val="24"/>
          <w:szCs w:val="24"/>
        </w:rPr>
      </w:pPr>
      <w:r w:rsidRPr="0061020E">
        <w:rPr>
          <w:rFonts w:ascii="Rockwell" w:hAnsi="Rockwell"/>
          <w:sz w:val="24"/>
          <w:szCs w:val="24"/>
        </w:rPr>
        <w:t>N</w:t>
      </w:r>
      <w:r w:rsidR="009C126D" w:rsidRPr="0061020E">
        <w:rPr>
          <w:rFonts w:ascii="Rockwell" w:hAnsi="Rockwell"/>
          <w:sz w:val="24"/>
          <w:szCs w:val="24"/>
        </w:rPr>
        <w:t>ote</w:t>
      </w:r>
      <w:r w:rsidR="009C126D">
        <w:rPr>
          <w:rFonts w:ascii="Rockwell" w:hAnsi="Rockwell"/>
          <w:sz w:val="24"/>
          <w:szCs w:val="24"/>
        </w:rPr>
        <w:t> : E</w:t>
      </w:r>
      <w:r w:rsidRPr="0061020E">
        <w:rPr>
          <w:rFonts w:ascii="Rockwell" w:hAnsi="Rockwell"/>
          <w:sz w:val="24"/>
          <w:szCs w:val="24"/>
        </w:rPr>
        <w:t>n règle générale, la température de l’air mesurée n’est pas identique à la température des denrées alimentaires dans les meubles frigorifiques de vente.</w:t>
      </w:r>
    </w:p>
    <w:p w:rsidR="00E85A38" w:rsidRPr="00240F97" w:rsidRDefault="00E85A38" w:rsidP="008F6018">
      <w:pPr>
        <w:spacing w:after="120" w:line="240" w:lineRule="auto"/>
        <w:jc w:val="both"/>
        <w:rPr>
          <w:rFonts w:ascii="Rockwell" w:hAnsi="Rockwell"/>
          <w:color w:val="00B0F0"/>
          <w:sz w:val="24"/>
          <w:szCs w:val="24"/>
        </w:rPr>
      </w:pPr>
      <w:bookmarkStart w:id="378" w:name="_Toc462982525"/>
      <w:r w:rsidRPr="00240F97">
        <w:rPr>
          <w:rFonts w:ascii="Rockwell" w:hAnsi="Rockwell"/>
          <w:color w:val="00B0F0"/>
          <w:sz w:val="24"/>
          <w:szCs w:val="24"/>
        </w:rPr>
        <w:t>Instrument de mesure de la température</w:t>
      </w:r>
      <w:bookmarkEnd w:id="378"/>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lastRenderedPageBreak/>
        <w:t>Des instruments de mesure de la température adéquats doivent être utilisés, c'est-à-dire des instruments respectant les prescriptions suivantes:</w:t>
      </w:r>
    </w:p>
    <w:p w:rsidR="00B10AEB" w:rsidRDefault="00E85A38" w:rsidP="00B10AEB">
      <w:pPr>
        <w:pStyle w:val="Listecontinue"/>
        <w:numPr>
          <w:ilvl w:val="0"/>
          <w:numId w:val="112"/>
        </w:numPr>
        <w:tabs>
          <w:tab w:val="clear" w:pos="400"/>
        </w:tabs>
        <w:spacing w:after="120" w:line="240" w:lineRule="auto"/>
        <w:rPr>
          <w:rFonts w:ascii="Rockwell" w:hAnsi="Rockwell"/>
          <w:sz w:val="24"/>
          <w:szCs w:val="24"/>
        </w:rPr>
      </w:pPr>
      <w:r w:rsidRPr="0061020E">
        <w:rPr>
          <w:rFonts w:ascii="Rockwell" w:hAnsi="Rockwell"/>
          <w:sz w:val="24"/>
          <w:szCs w:val="24"/>
        </w:rPr>
        <w:t>le symbole de l’unité (°C) doit être inscrit ou affiché sur l’appareil de mesurage de température;</w:t>
      </w:r>
    </w:p>
    <w:p w:rsidR="00B10AEB" w:rsidRDefault="00E85A38" w:rsidP="00B10AEB">
      <w:pPr>
        <w:pStyle w:val="Listecontinue"/>
        <w:numPr>
          <w:ilvl w:val="0"/>
          <w:numId w:val="112"/>
        </w:numPr>
        <w:tabs>
          <w:tab w:val="clear" w:pos="400"/>
        </w:tabs>
        <w:spacing w:after="120" w:line="240" w:lineRule="auto"/>
        <w:rPr>
          <w:rFonts w:ascii="Rockwell" w:hAnsi="Rockwell"/>
          <w:sz w:val="24"/>
          <w:szCs w:val="24"/>
        </w:rPr>
      </w:pPr>
      <w:r w:rsidRPr="00B10AEB">
        <w:rPr>
          <w:rFonts w:ascii="Rockwell" w:hAnsi="Rockwell"/>
          <w:sz w:val="24"/>
          <w:szCs w:val="24"/>
        </w:rPr>
        <w:t xml:space="preserve">la plage de mesure doit être au moins de </w:t>
      </w:r>
      <w:r w:rsidRPr="0061020E">
        <w:rPr>
          <w:rFonts w:ascii="Rockwell" w:hAnsi="Rockwell"/>
          <w:sz w:val="24"/>
          <w:szCs w:val="24"/>
        </w:rPr>
        <w:sym w:font="Symbol" w:char="F02D"/>
      </w:r>
      <w:r w:rsidRPr="00B10AEB">
        <w:rPr>
          <w:rFonts w:ascii="Rockwell" w:hAnsi="Rockwell"/>
          <w:sz w:val="24"/>
          <w:szCs w:val="24"/>
        </w:rPr>
        <w:t>25 °C à 15 °C;</w:t>
      </w:r>
    </w:p>
    <w:p w:rsidR="00B10AEB" w:rsidRDefault="00E85A38" w:rsidP="00B10AEB">
      <w:pPr>
        <w:pStyle w:val="Listecontinue"/>
        <w:numPr>
          <w:ilvl w:val="0"/>
          <w:numId w:val="112"/>
        </w:numPr>
        <w:tabs>
          <w:tab w:val="clear" w:pos="400"/>
        </w:tabs>
        <w:spacing w:after="120" w:line="240" w:lineRule="auto"/>
        <w:rPr>
          <w:rFonts w:ascii="Rockwell" w:hAnsi="Rockwell"/>
          <w:sz w:val="24"/>
          <w:szCs w:val="24"/>
        </w:rPr>
      </w:pPr>
      <w:r w:rsidRPr="00B10AEB">
        <w:rPr>
          <w:rFonts w:ascii="Rockwell" w:hAnsi="Rockwell"/>
          <w:sz w:val="24"/>
          <w:szCs w:val="24"/>
        </w:rPr>
        <w:t>la division d’échelle ou l’incrément numérique le plus petit doit être inférieur(e) ou égal(e) à 1 °C;</w:t>
      </w:r>
    </w:p>
    <w:p w:rsidR="00B10AEB" w:rsidRDefault="00E85A38" w:rsidP="00B10AEB">
      <w:pPr>
        <w:pStyle w:val="Listecontinue"/>
        <w:numPr>
          <w:ilvl w:val="0"/>
          <w:numId w:val="112"/>
        </w:numPr>
        <w:tabs>
          <w:tab w:val="clear" w:pos="400"/>
        </w:tabs>
        <w:spacing w:after="120" w:line="240" w:lineRule="auto"/>
        <w:rPr>
          <w:rFonts w:ascii="Rockwell" w:hAnsi="Rockwell"/>
          <w:sz w:val="24"/>
          <w:szCs w:val="24"/>
        </w:rPr>
      </w:pPr>
      <w:r w:rsidRPr="00B10AEB">
        <w:rPr>
          <w:rFonts w:ascii="Rockwell" w:hAnsi="Rockwell"/>
          <w:sz w:val="24"/>
          <w:szCs w:val="24"/>
        </w:rPr>
        <w:t>les erreurs maximales doivent être de 2 K supérieures à la plage de mesurage totale</w:t>
      </w:r>
      <w:r w:rsidR="00B10AEB">
        <w:rPr>
          <w:rFonts w:ascii="Rockwell" w:hAnsi="Rockwell"/>
          <w:sz w:val="24"/>
          <w:szCs w:val="24"/>
        </w:rPr>
        <w:t xml:space="preserve"> </w:t>
      </w:r>
      <w:r w:rsidRPr="00B10AEB">
        <w:rPr>
          <w:rFonts w:ascii="Rockwell" w:hAnsi="Rockwell"/>
          <w:sz w:val="24"/>
          <w:szCs w:val="24"/>
        </w:rPr>
        <w:t>;</w:t>
      </w:r>
    </w:p>
    <w:p w:rsidR="00E85A38" w:rsidRPr="00B10AEB" w:rsidRDefault="00E85A38" w:rsidP="00B10AEB">
      <w:pPr>
        <w:pStyle w:val="Listecontinue"/>
        <w:numPr>
          <w:ilvl w:val="0"/>
          <w:numId w:val="112"/>
        </w:numPr>
        <w:tabs>
          <w:tab w:val="clear" w:pos="400"/>
        </w:tabs>
        <w:spacing w:after="120" w:line="240" w:lineRule="auto"/>
        <w:rPr>
          <w:rFonts w:ascii="Rockwell" w:hAnsi="Rockwell"/>
          <w:sz w:val="24"/>
          <w:szCs w:val="24"/>
        </w:rPr>
      </w:pPr>
      <w:r w:rsidRPr="00B10AEB">
        <w:rPr>
          <w:rFonts w:ascii="Rockwell" w:hAnsi="Rockwell"/>
          <w:sz w:val="24"/>
          <w:szCs w:val="24"/>
        </w:rPr>
        <w:t xml:space="preserve">la constante de temps </w:t>
      </w:r>
      <w:r w:rsidRPr="00B10AEB">
        <w:rPr>
          <w:rFonts w:ascii="Rockwell" w:hAnsi="Rockwell"/>
          <w:i/>
          <w:sz w:val="24"/>
          <w:szCs w:val="24"/>
        </w:rPr>
        <w:t>t</w:t>
      </w:r>
      <w:r w:rsidRPr="00B10AEB">
        <w:rPr>
          <w:rFonts w:ascii="Rockwell" w:hAnsi="Rockwell"/>
          <w:position w:val="-6"/>
          <w:sz w:val="24"/>
          <w:szCs w:val="24"/>
          <w:vertAlign w:val="subscript"/>
        </w:rPr>
        <w:t>90</w:t>
      </w:r>
      <w:r w:rsidRPr="00B10AEB">
        <w:rPr>
          <w:rFonts w:ascii="Rockwell" w:hAnsi="Rockwell"/>
          <w:sz w:val="24"/>
          <w:szCs w:val="24"/>
        </w:rPr>
        <w:t xml:space="preserve"> du capteur doit être inférieure ou égale à 20 min.</w:t>
      </w:r>
    </w:p>
    <w:p w:rsidR="00E85A38" w:rsidRDefault="00E85A38" w:rsidP="008F6018">
      <w:pPr>
        <w:pStyle w:val="Note"/>
        <w:spacing w:after="120" w:line="240" w:lineRule="auto"/>
        <w:rPr>
          <w:rFonts w:ascii="Rockwell" w:hAnsi="Rockwell"/>
          <w:sz w:val="24"/>
          <w:szCs w:val="24"/>
        </w:rPr>
      </w:pPr>
      <w:r w:rsidRPr="00B10AEB">
        <w:rPr>
          <w:rFonts w:ascii="Rockwell" w:hAnsi="Rockwell"/>
          <w:b/>
          <w:sz w:val="24"/>
          <w:szCs w:val="24"/>
        </w:rPr>
        <w:t>NOTE</w:t>
      </w:r>
      <w:r w:rsidR="00B10AEB">
        <w:rPr>
          <w:rFonts w:ascii="Rockwell" w:hAnsi="Rockwell"/>
          <w:b/>
          <w:sz w:val="24"/>
          <w:szCs w:val="24"/>
        </w:rPr>
        <w:t> </w:t>
      </w:r>
      <w:r w:rsidR="00B10AEB">
        <w:rPr>
          <w:rFonts w:ascii="Rockwell" w:hAnsi="Rockwell"/>
          <w:sz w:val="24"/>
          <w:szCs w:val="24"/>
        </w:rPr>
        <w:t>:</w:t>
      </w:r>
      <w:r w:rsidRPr="0061020E">
        <w:rPr>
          <w:rFonts w:ascii="Rockwell" w:hAnsi="Rockwell"/>
          <w:sz w:val="24"/>
          <w:szCs w:val="24"/>
        </w:rPr>
        <w:tab/>
        <w:t xml:space="preserve">Le temps </w:t>
      </w:r>
      <w:r w:rsidRPr="0061020E">
        <w:rPr>
          <w:rFonts w:ascii="Rockwell" w:hAnsi="Rockwell"/>
          <w:i/>
          <w:sz w:val="24"/>
          <w:szCs w:val="24"/>
        </w:rPr>
        <w:t>t</w:t>
      </w:r>
      <w:r w:rsidRPr="0061020E">
        <w:rPr>
          <w:rFonts w:ascii="Rockwell" w:hAnsi="Rockwell"/>
          <w:sz w:val="24"/>
          <w:szCs w:val="24"/>
          <w:vertAlign w:val="subscript"/>
        </w:rPr>
        <w:t xml:space="preserve">90 </w:t>
      </w:r>
      <w:r w:rsidRPr="0061020E">
        <w:rPr>
          <w:rFonts w:ascii="Rockwell" w:hAnsi="Rockwell"/>
          <w:sz w:val="24"/>
          <w:szCs w:val="24"/>
        </w:rPr>
        <w:t>est le temps dans lequel 90 % d’un brusque changement de température de 20 °C est indiqué, le milieu de mesure étant de l’air modérément agité (vitesse 1 m/s).</w:t>
      </w:r>
    </w:p>
    <w:p w:rsidR="00E85A38" w:rsidRPr="00240F97" w:rsidRDefault="00E85A38" w:rsidP="008F6018">
      <w:pPr>
        <w:spacing w:after="120" w:line="240" w:lineRule="auto"/>
        <w:jc w:val="both"/>
        <w:rPr>
          <w:rFonts w:ascii="Rockwell" w:hAnsi="Rockwell"/>
          <w:color w:val="00B0F0"/>
          <w:sz w:val="24"/>
          <w:szCs w:val="24"/>
        </w:rPr>
      </w:pPr>
      <w:bookmarkStart w:id="379" w:name="_Toc462982526"/>
      <w:r w:rsidRPr="00240F97">
        <w:rPr>
          <w:rFonts w:ascii="Rockwell" w:hAnsi="Rockwell"/>
          <w:color w:val="00B0F0"/>
          <w:sz w:val="24"/>
          <w:szCs w:val="24"/>
        </w:rPr>
        <w:t>Emplacement du capteur de température</w:t>
      </w:r>
      <w:bookmarkEnd w:id="379"/>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L'emplacement du capteur de température doit être facilement accessible</w:t>
      </w:r>
      <w:r w:rsidR="009C126D">
        <w:rPr>
          <w:rFonts w:ascii="Rockwell" w:hAnsi="Rockwell"/>
          <w:sz w:val="24"/>
          <w:szCs w:val="24"/>
          <w:lang w:val="fr-CA"/>
        </w:rPr>
        <w:t>,</w:t>
      </w:r>
      <w:r w:rsidRPr="0061020E">
        <w:rPr>
          <w:rFonts w:ascii="Rockwell" w:hAnsi="Rockwell"/>
          <w:sz w:val="24"/>
          <w:szCs w:val="24"/>
          <w:lang w:val="fr-CA"/>
        </w:rPr>
        <w:t xml:space="preserve"> pour permettre sur site</w:t>
      </w:r>
      <w:r w:rsidR="009C126D">
        <w:rPr>
          <w:rFonts w:ascii="Rockwell" w:hAnsi="Rockwell"/>
          <w:sz w:val="24"/>
          <w:szCs w:val="24"/>
          <w:lang w:val="fr-CA"/>
        </w:rPr>
        <w:t>,</w:t>
      </w:r>
      <w:r w:rsidRPr="0061020E">
        <w:rPr>
          <w:rFonts w:ascii="Rockwell" w:hAnsi="Rockwell"/>
          <w:sz w:val="24"/>
          <w:szCs w:val="24"/>
          <w:lang w:val="fr-CA"/>
        </w:rPr>
        <w:t xml:space="preserve"> des essais d'indication correcte de la température et le remplacement sur site de l'appareil de mesurage de </w:t>
      </w:r>
      <w:r w:rsidR="009C126D">
        <w:rPr>
          <w:rFonts w:ascii="Rockwell" w:hAnsi="Rockwell"/>
          <w:sz w:val="24"/>
          <w:szCs w:val="24"/>
          <w:lang w:val="fr-CA"/>
        </w:rPr>
        <w:t xml:space="preserve">la </w:t>
      </w:r>
      <w:r w:rsidRPr="0061020E">
        <w:rPr>
          <w:rFonts w:ascii="Rockwell" w:hAnsi="Rockwell"/>
          <w:sz w:val="24"/>
          <w:szCs w:val="24"/>
          <w:lang w:val="fr-CA"/>
        </w:rPr>
        <w:t>température en service.</w:t>
      </w:r>
    </w:p>
    <w:p w:rsidR="00E85A38" w:rsidRPr="0061020E" w:rsidRDefault="00E85A38" w:rsidP="008F6018">
      <w:pPr>
        <w:pStyle w:val="Note"/>
        <w:spacing w:after="120" w:line="240" w:lineRule="auto"/>
        <w:rPr>
          <w:rFonts w:ascii="Rockwell" w:hAnsi="Rockwell"/>
          <w:sz w:val="24"/>
          <w:szCs w:val="24"/>
        </w:rPr>
      </w:pPr>
      <w:r w:rsidRPr="0061020E">
        <w:rPr>
          <w:rFonts w:ascii="Rockwell" w:hAnsi="Rockwell"/>
          <w:sz w:val="24"/>
          <w:szCs w:val="24"/>
        </w:rPr>
        <w:t>N</w:t>
      </w:r>
      <w:r w:rsidR="009C126D" w:rsidRPr="0061020E">
        <w:rPr>
          <w:rFonts w:ascii="Rockwell" w:hAnsi="Rockwell"/>
          <w:sz w:val="24"/>
          <w:szCs w:val="24"/>
        </w:rPr>
        <w:t>ote</w:t>
      </w:r>
      <w:r w:rsidRPr="0061020E">
        <w:rPr>
          <w:rFonts w:ascii="Rockwell" w:hAnsi="Rockwell"/>
          <w:sz w:val="24"/>
          <w:szCs w:val="24"/>
        </w:rPr>
        <w:t xml:space="preserve"> 1</w:t>
      </w:r>
      <w:r w:rsidR="00B10AEB">
        <w:rPr>
          <w:rFonts w:ascii="Rockwell" w:hAnsi="Rockwell"/>
          <w:sz w:val="24"/>
          <w:szCs w:val="24"/>
        </w:rPr>
        <w:t> :</w:t>
      </w:r>
      <w:r w:rsidR="009C126D">
        <w:rPr>
          <w:rFonts w:ascii="Rockwell" w:hAnsi="Rockwell"/>
          <w:sz w:val="24"/>
          <w:szCs w:val="24"/>
        </w:rPr>
        <w:t xml:space="preserve"> </w:t>
      </w:r>
      <w:r w:rsidRPr="0061020E">
        <w:rPr>
          <w:rFonts w:ascii="Rockwell" w:hAnsi="Rockwell"/>
          <w:sz w:val="24"/>
          <w:szCs w:val="24"/>
        </w:rPr>
        <w:t>Le capteur de température d'un thermomètre est considéré comme étant « facilement accessible » s'il peut être atteint directement pour examen. Il peut être nécessaire de retirer un (des) panneau(x) d'accès pour procéder au remplacement.</w:t>
      </w:r>
    </w:p>
    <w:p w:rsidR="00E85A38" w:rsidRPr="0061020E" w:rsidRDefault="00E85A38" w:rsidP="008F6018">
      <w:pPr>
        <w:pStyle w:val="Note"/>
        <w:spacing w:after="120" w:line="240" w:lineRule="auto"/>
        <w:rPr>
          <w:rFonts w:ascii="Rockwell" w:hAnsi="Rockwell"/>
          <w:sz w:val="24"/>
          <w:szCs w:val="24"/>
        </w:rPr>
      </w:pPr>
      <w:r w:rsidRPr="0061020E">
        <w:rPr>
          <w:rFonts w:ascii="Rockwell" w:hAnsi="Rockwell"/>
          <w:sz w:val="24"/>
          <w:szCs w:val="24"/>
        </w:rPr>
        <w:t>N</w:t>
      </w:r>
      <w:r w:rsidR="009C126D" w:rsidRPr="0061020E">
        <w:rPr>
          <w:rFonts w:ascii="Rockwell" w:hAnsi="Rockwell"/>
          <w:sz w:val="24"/>
          <w:szCs w:val="24"/>
        </w:rPr>
        <w:t>ote</w:t>
      </w:r>
      <w:r w:rsidR="009C126D">
        <w:rPr>
          <w:rFonts w:ascii="Rockwell" w:hAnsi="Rockwell"/>
          <w:sz w:val="24"/>
          <w:szCs w:val="24"/>
        </w:rPr>
        <w:t xml:space="preserve"> 2 :</w:t>
      </w:r>
      <w:r w:rsidR="00B10AEB">
        <w:rPr>
          <w:rFonts w:ascii="Rockwell" w:hAnsi="Rockwell"/>
          <w:sz w:val="24"/>
          <w:szCs w:val="24"/>
        </w:rPr>
        <w:t xml:space="preserve"> </w:t>
      </w:r>
      <w:r w:rsidRPr="0061020E">
        <w:rPr>
          <w:rFonts w:ascii="Rockwell" w:hAnsi="Rockwell"/>
          <w:sz w:val="24"/>
          <w:szCs w:val="24"/>
        </w:rPr>
        <w:t>Pour des meubles avec refroidissement par convection naturelle, le positionnement du capteur de température dans un tube de guidage est également considéré comme étant « facilement accessible »</w:t>
      </w:r>
      <w:r w:rsidR="009C126D">
        <w:rPr>
          <w:rFonts w:ascii="Rockwell" w:hAnsi="Rockwell"/>
          <w:sz w:val="24"/>
          <w:szCs w:val="24"/>
        </w:rPr>
        <w:t>,</w:t>
      </w:r>
      <w:r w:rsidRPr="0061020E">
        <w:rPr>
          <w:rFonts w:ascii="Rockwell" w:hAnsi="Rockwell"/>
          <w:sz w:val="24"/>
          <w:szCs w:val="24"/>
        </w:rPr>
        <w:t xml:space="preserve"> si le capteur peut être introduit dans le tube de guidage et retiré de celui-ci sans outil.</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Chaque fois que cela sera possible, la méthode de montage ne doit pas fournir de chaleur au capteur de température ni extraire de chaleur de celui-ci.</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capteur de température doit être protégé contre le rayonnement thermique de l'ambiance extérieure.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L'emplacement du capteur de température est défini dans le cadre de l'essai de température du meuble frigorifique de vente. Pendant l'essai de température, les températures de l'air à l'emplacement déclaré du capteur doivent être mesurées et ces valeurs notées dans le rapport d'essai.</w:t>
      </w:r>
    </w:p>
    <w:p w:rsidR="00E85A38" w:rsidRPr="0061020E" w:rsidRDefault="00E85A38" w:rsidP="008F6018">
      <w:pPr>
        <w:pStyle w:val="Note"/>
        <w:spacing w:after="120" w:line="240" w:lineRule="auto"/>
        <w:rPr>
          <w:rFonts w:ascii="Rockwell" w:hAnsi="Rockwell"/>
          <w:sz w:val="24"/>
          <w:szCs w:val="24"/>
        </w:rPr>
      </w:pPr>
      <w:r w:rsidRPr="0061020E">
        <w:rPr>
          <w:rFonts w:ascii="Rockwell" w:hAnsi="Rockwell"/>
          <w:sz w:val="24"/>
          <w:szCs w:val="24"/>
        </w:rPr>
        <w:t>N</w:t>
      </w:r>
      <w:r w:rsidR="009C126D" w:rsidRPr="0061020E">
        <w:rPr>
          <w:rFonts w:ascii="Rockwell" w:hAnsi="Rockwell"/>
          <w:sz w:val="24"/>
          <w:szCs w:val="24"/>
        </w:rPr>
        <w:t>ote</w:t>
      </w:r>
      <w:r w:rsidRPr="0061020E">
        <w:rPr>
          <w:rFonts w:ascii="Rockwell" w:hAnsi="Rockwell"/>
          <w:sz w:val="24"/>
          <w:szCs w:val="24"/>
        </w:rPr>
        <w:t xml:space="preserve"> 3</w:t>
      </w:r>
      <w:r w:rsidR="00B10AEB">
        <w:rPr>
          <w:rFonts w:ascii="Rockwell" w:hAnsi="Rockwell"/>
          <w:sz w:val="24"/>
          <w:szCs w:val="24"/>
        </w:rPr>
        <w:t> :</w:t>
      </w:r>
      <w:r w:rsidR="009C126D">
        <w:rPr>
          <w:rFonts w:ascii="Rockwell" w:hAnsi="Rockwell"/>
          <w:sz w:val="24"/>
          <w:szCs w:val="24"/>
        </w:rPr>
        <w:t xml:space="preserve"> </w:t>
      </w:r>
      <w:r w:rsidRPr="0061020E">
        <w:rPr>
          <w:rFonts w:ascii="Rockwell" w:hAnsi="Rockwell"/>
          <w:sz w:val="24"/>
          <w:szCs w:val="24"/>
        </w:rPr>
        <w:t>Il est de la responsabilité du fournisseur et de l'utilisateur final de s'assurer que les mesurages de température respectent la réglementation nationale en matière de contrôle des températures des denrées alimentaires.</w:t>
      </w:r>
    </w:p>
    <w:p w:rsidR="00E85A38" w:rsidRPr="00240F97" w:rsidRDefault="00E85A38" w:rsidP="008F6018">
      <w:pPr>
        <w:spacing w:after="120" w:line="240" w:lineRule="auto"/>
        <w:jc w:val="both"/>
        <w:rPr>
          <w:rFonts w:ascii="Rockwell" w:hAnsi="Rockwell"/>
          <w:color w:val="00B0F0"/>
          <w:sz w:val="24"/>
          <w:szCs w:val="24"/>
        </w:rPr>
      </w:pPr>
      <w:bookmarkStart w:id="380" w:name="_Toc462982527"/>
      <w:r w:rsidRPr="00240F97">
        <w:rPr>
          <w:rFonts w:ascii="Rockwell" w:hAnsi="Rockwell"/>
          <w:color w:val="00B0F0"/>
          <w:sz w:val="24"/>
          <w:szCs w:val="24"/>
        </w:rPr>
        <w:t>Nombre d’appareils de mesurage de température</w:t>
      </w:r>
      <w:bookmarkEnd w:id="380"/>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Lorsque des appareils de mesurage de température sont employés dans des meubles frigorifiques de vente:</w:t>
      </w:r>
    </w:p>
    <w:p w:rsidR="00E85A38" w:rsidRPr="0061020E" w:rsidRDefault="00E85A38" w:rsidP="008F6018">
      <w:pPr>
        <w:pStyle w:val="Listecontinue"/>
        <w:numPr>
          <w:ilvl w:val="0"/>
          <w:numId w:val="102"/>
        </w:numPr>
        <w:tabs>
          <w:tab w:val="clear" w:pos="400"/>
        </w:tabs>
        <w:spacing w:after="120" w:line="240" w:lineRule="auto"/>
        <w:rPr>
          <w:rFonts w:ascii="Rockwell" w:hAnsi="Rockwell"/>
          <w:sz w:val="24"/>
          <w:szCs w:val="24"/>
        </w:rPr>
      </w:pPr>
      <w:r w:rsidRPr="0061020E">
        <w:rPr>
          <w:rFonts w:ascii="Rockwell" w:hAnsi="Rockwell"/>
          <w:sz w:val="24"/>
          <w:szCs w:val="24"/>
        </w:rPr>
        <w:t>un appareil de mesurage de température doit être employé pour chaque meuble frigorifique de vente avec son circuit de réfrigération ;</w:t>
      </w:r>
    </w:p>
    <w:p w:rsidR="00E85A38" w:rsidRPr="0061020E" w:rsidRDefault="00E85A38" w:rsidP="008F6018">
      <w:pPr>
        <w:pStyle w:val="Listecontinue"/>
        <w:numPr>
          <w:ilvl w:val="0"/>
          <w:numId w:val="102"/>
        </w:numPr>
        <w:tabs>
          <w:tab w:val="clear" w:pos="400"/>
        </w:tabs>
        <w:spacing w:after="120" w:line="240" w:lineRule="auto"/>
        <w:rPr>
          <w:rFonts w:ascii="Rockwell" w:hAnsi="Rockwell"/>
          <w:sz w:val="24"/>
          <w:szCs w:val="24"/>
        </w:rPr>
      </w:pPr>
      <w:r w:rsidRPr="0061020E">
        <w:rPr>
          <w:rFonts w:ascii="Rockwell" w:hAnsi="Rockwell"/>
          <w:sz w:val="24"/>
          <w:szCs w:val="24"/>
        </w:rPr>
        <w:t>dans le cas de plusieurs meubles frigorifiques de vente avec un circuit de réfrigération commun, fonctionnant dans une classe de température, un appareil de mesurage de température au minimum doit être employé pour deux meubles frigorifiques de vente au maximum avec une longueur totale au maximum de 3,75 m ;</w:t>
      </w:r>
    </w:p>
    <w:p w:rsidR="00E85A38" w:rsidRDefault="00E85A38" w:rsidP="008F6018">
      <w:pPr>
        <w:pStyle w:val="Listecontinue"/>
        <w:numPr>
          <w:ilvl w:val="0"/>
          <w:numId w:val="102"/>
        </w:numPr>
        <w:tabs>
          <w:tab w:val="clear" w:pos="400"/>
        </w:tabs>
        <w:spacing w:after="120" w:line="240" w:lineRule="auto"/>
        <w:rPr>
          <w:rFonts w:ascii="Rockwell" w:hAnsi="Rockwell"/>
          <w:sz w:val="24"/>
          <w:szCs w:val="24"/>
        </w:rPr>
      </w:pPr>
      <w:r w:rsidRPr="0061020E">
        <w:rPr>
          <w:rFonts w:ascii="Rockwell" w:hAnsi="Rockwell"/>
          <w:sz w:val="24"/>
          <w:szCs w:val="24"/>
        </w:rPr>
        <w:lastRenderedPageBreak/>
        <w:t>dans le cas de plusieurs meubles frigorifiques de vente avec un circuit de réfrigération commun, fonctionnant dans différentes classes de température, l’exigence précédente doit être observée, mais avec des appareils de mesurage de température séparés</w:t>
      </w:r>
      <w:r w:rsidR="009C126D">
        <w:rPr>
          <w:rFonts w:ascii="Rockwell" w:hAnsi="Rockwell"/>
          <w:sz w:val="24"/>
          <w:szCs w:val="24"/>
        </w:rPr>
        <w:t>,</w:t>
      </w:r>
      <w:r w:rsidRPr="0061020E">
        <w:rPr>
          <w:rFonts w:ascii="Rockwell" w:hAnsi="Rockwell"/>
          <w:sz w:val="24"/>
          <w:szCs w:val="24"/>
        </w:rPr>
        <w:t xml:space="preserve"> employés pour chaque classe de température.</w:t>
      </w:r>
    </w:p>
    <w:p w:rsidR="00F17B55" w:rsidRPr="0061020E" w:rsidRDefault="00F17B55" w:rsidP="00F17B55">
      <w:pPr>
        <w:pStyle w:val="Listecontinue"/>
        <w:numPr>
          <w:ilvl w:val="0"/>
          <w:numId w:val="0"/>
        </w:numPr>
        <w:tabs>
          <w:tab w:val="clear" w:pos="400"/>
        </w:tabs>
        <w:spacing w:after="120" w:line="240" w:lineRule="auto"/>
        <w:ind w:left="1120"/>
        <w:rPr>
          <w:rFonts w:ascii="Rockwell" w:hAnsi="Rockwell"/>
          <w:sz w:val="24"/>
          <w:szCs w:val="24"/>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81" w:name="_Toc367267575"/>
      <w:bookmarkStart w:id="382" w:name="_Toc370913923"/>
      <w:bookmarkStart w:id="383" w:name="_Toc372552755"/>
      <w:bookmarkStart w:id="384" w:name="_Toc462982528"/>
      <w:bookmarkStart w:id="385" w:name="_Toc505063327"/>
      <w:r w:rsidRPr="0061020E">
        <w:rPr>
          <w:rFonts w:ascii="Rockwell" w:hAnsi="Rockwell"/>
          <w:color w:val="auto"/>
          <w:sz w:val="24"/>
          <w:szCs w:val="24"/>
        </w:rPr>
        <w:t>i) Caractéristiques de fonctionnement</w:t>
      </w:r>
      <w:bookmarkEnd w:id="381"/>
      <w:bookmarkEnd w:id="382"/>
      <w:bookmarkEnd w:id="383"/>
      <w:bookmarkEnd w:id="384"/>
      <w:bookmarkEnd w:id="385"/>
    </w:p>
    <w:p w:rsidR="00E85A38" w:rsidRPr="0061020E" w:rsidRDefault="00E85A38" w:rsidP="008F6018">
      <w:pPr>
        <w:spacing w:after="120" w:line="240" w:lineRule="auto"/>
        <w:jc w:val="both"/>
      </w:pPr>
      <w:bookmarkStart w:id="386" w:name="_Toc367267576"/>
      <w:bookmarkStart w:id="387" w:name="_Toc370913924"/>
      <w:bookmarkStart w:id="388" w:name="_Toc372552756"/>
      <w:bookmarkStart w:id="389" w:name="_Toc462982529"/>
      <w:r w:rsidRPr="00240F97">
        <w:rPr>
          <w:rFonts w:ascii="Rockwell" w:hAnsi="Rockwell"/>
          <w:color w:val="00B0F0"/>
          <w:sz w:val="24"/>
          <w:szCs w:val="24"/>
        </w:rPr>
        <w:t>Absence d’odeur et de goût</w:t>
      </w:r>
      <w:bookmarkEnd w:id="386"/>
      <w:bookmarkEnd w:id="387"/>
      <w:bookmarkEnd w:id="388"/>
      <w:bookmarkEnd w:id="389"/>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L’absence d’odeur et de goût n'est pas obligatoire.</w:t>
      </w:r>
    </w:p>
    <w:p w:rsidR="00E85A38" w:rsidRPr="00240F97" w:rsidRDefault="00E85A38" w:rsidP="008F6018">
      <w:pPr>
        <w:spacing w:after="120" w:line="240" w:lineRule="auto"/>
        <w:jc w:val="both"/>
        <w:rPr>
          <w:rFonts w:ascii="Rockwell" w:hAnsi="Rockwell"/>
          <w:color w:val="00B0F0"/>
          <w:sz w:val="24"/>
          <w:szCs w:val="24"/>
        </w:rPr>
      </w:pPr>
      <w:bookmarkStart w:id="390" w:name="_Toc367267577"/>
      <w:bookmarkStart w:id="391" w:name="_Toc370913925"/>
      <w:bookmarkStart w:id="392" w:name="_Toc372552757"/>
      <w:bookmarkStart w:id="393" w:name="_Toc462982530"/>
      <w:r w:rsidRPr="00240F97">
        <w:rPr>
          <w:rFonts w:ascii="Rockwell" w:hAnsi="Rockwell"/>
          <w:color w:val="00B0F0"/>
          <w:sz w:val="24"/>
          <w:szCs w:val="24"/>
        </w:rPr>
        <w:t>Classification selon la température</w:t>
      </w:r>
      <w:bookmarkEnd w:id="390"/>
      <w:bookmarkEnd w:id="391"/>
      <w:bookmarkEnd w:id="392"/>
      <w:bookmarkEnd w:id="393"/>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performances des meubles doivent satisfaire à l’une des classifications définies au Tableau 1. Les performances doivent être vérifiées</w:t>
      </w:r>
      <w:r w:rsidR="009C126D">
        <w:rPr>
          <w:rFonts w:ascii="Rockwell" w:hAnsi="Rockwell"/>
          <w:sz w:val="24"/>
          <w:szCs w:val="24"/>
          <w:lang w:val="fr-CA"/>
        </w:rPr>
        <w:t>,</w:t>
      </w:r>
      <w:r w:rsidRPr="0061020E">
        <w:rPr>
          <w:rFonts w:ascii="Rockwell" w:hAnsi="Rockwell"/>
          <w:sz w:val="24"/>
          <w:szCs w:val="24"/>
          <w:lang w:val="fr-CA"/>
        </w:rPr>
        <w:t xml:space="preserve"> suivant les conditions et les méthodes d'essai spécifiées en 5.3.3.</w:t>
      </w:r>
    </w:p>
    <w:p w:rsidR="00E85A38" w:rsidRDefault="00E85A38" w:rsidP="008F6018">
      <w:pPr>
        <w:spacing w:after="120" w:line="240" w:lineRule="auto"/>
        <w:jc w:val="both"/>
        <w:rPr>
          <w:rFonts w:ascii="Rockwell" w:hAnsi="Rockwell"/>
          <w:sz w:val="24"/>
          <w:szCs w:val="24"/>
        </w:rPr>
      </w:pPr>
    </w:p>
    <w:p w:rsidR="00B10AEB" w:rsidRDefault="00B10AEB" w:rsidP="008F6018">
      <w:pPr>
        <w:spacing w:after="120" w:line="240" w:lineRule="auto"/>
        <w:jc w:val="both"/>
        <w:rPr>
          <w:rFonts w:ascii="Rockwell" w:hAnsi="Rockwell"/>
          <w:sz w:val="24"/>
          <w:szCs w:val="24"/>
        </w:rPr>
      </w:pPr>
    </w:p>
    <w:p w:rsidR="00B10AEB" w:rsidRDefault="00B10AEB" w:rsidP="008F6018">
      <w:pPr>
        <w:spacing w:after="120" w:line="240" w:lineRule="auto"/>
        <w:jc w:val="both"/>
        <w:rPr>
          <w:rFonts w:ascii="Rockwell" w:hAnsi="Rockwell"/>
          <w:sz w:val="24"/>
          <w:szCs w:val="24"/>
        </w:rPr>
      </w:pPr>
    </w:p>
    <w:p w:rsidR="00B10AEB" w:rsidRDefault="00B10AEB" w:rsidP="008F6018">
      <w:pPr>
        <w:spacing w:after="120" w:line="240" w:lineRule="auto"/>
        <w:jc w:val="both"/>
        <w:rPr>
          <w:rFonts w:ascii="Rockwell" w:hAnsi="Rockwell"/>
          <w:sz w:val="24"/>
          <w:szCs w:val="24"/>
        </w:rPr>
      </w:pPr>
    </w:p>
    <w:p w:rsidR="009C126D" w:rsidRDefault="009C126D" w:rsidP="008F6018">
      <w:pPr>
        <w:spacing w:after="120" w:line="240" w:lineRule="auto"/>
        <w:jc w:val="both"/>
        <w:rPr>
          <w:rFonts w:ascii="Rockwell" w:hAnsi="Rockwell"/>
          <w:sz w:val="24"/>
          <w:szCs w:val="24"/>
        </w:rPr>
      </w:pPr>
    </w:p>
    <w:p w:rsidR="009C126D" w:rsidRDefault="009C126D" w:rsidP="008F6018">
      <w:pPr>
        <w:spacing w:after="120" w:line="240" w:lineRule="auto"/>
        <w:jc w:val="both"/>
        <w:rPr>
          <w:rFonts w:ascii="Rockwell" w:hAnsi="Rockwell"/>
          <w:sz w:val="24"/>
          <w:szCs w:val="24"/>
        </w:rPr>
      </w:pPr>
    </w:p>
    <w:p w:rsidR="00B10AEB" w:rsidRDefault="00B10AEB" w:rsidP="008F6018">
      <w:pPr>
        <w:spacing w:after="120" w:line="240" w:lineRule="auto"/>
        <w:jc w:val="both"/>
        <w:rPr>
          <w:rFonts w:ascii="Rockwell" w:hAnsi="Rockwell"/>
          <w:sz w:val="24"/>
          <w:szCs w:val="24"/>
        </w:rPr>
      </w:pPr>
    </w:p>
    <w:p w:rsidR="00E85A38" w:rsidRPr="0061020E" w:rsidRDefault="00E85A38" w:rsidP="008F6018">
      <w:pPr>
        <w:pStyle w:val="Tabletitle"/>
        <w:spacing w:before="0" w:line="240" w:lineRule="auto"/>
        <w:jc w:val="both"/>
        <w:rPr>
          <w:rFonts w:ascii="Rockwell" w:hAnsi="Rockwell"/>
          <w:sz w:val="24"/>
          <w:szCs w:val="24"/>
        </w:rPr>
      </w:pPr>
      <w:r w:rsidRPr="0061020E">
        <w:rPr>
          <w:rFonts w:ascii="Rockwell" w:hAnsi="Rockwell"/>
          <w:sz w:val="24"/>
          <w:szCs w:val="24"/>
        </w:rPr>
        <w:t>Tableau </w:t>
      </w:r>
      <w:r w:rsidRPr="0061020E">
        <w:rPr>
          <w:rFonts w:ascii="Rockwell" w:hAnsi="Rockwell"/>
          <w:sz w:val="24"/>
          <w:szCs w:val="24"/>
        </w:rPr>
        <w:fldChar w:fldCharType="begin"/>
      </w:r>
      <w:r w:rsidRPr="0061020E">
        <w:rPr>
          <w:rFonts w:ascii="Rockwell" w:hAnsi="Rockwell"/>
          <w:sz w:val="24"/>
          <w:szCs w:val="24"/>
        </w:rPr>
        <w:instrText xml:space="preserve">SEQ Table </w:instrText>
      </w:r>
      <w:r w:rsidRPr="0061020E">
        <w:rPr>
          <w:rFonts w:ascii="Rockwell" w:hAnsi="Rockwell"/>
          <w:sz w:val="24"/>
          <w:szCs w:val="24"/>
        </w:rPr>
        <w:fldChar w:fldCharType="separate"/>
      </w:r>
      <w:r w:rsidR="001C5251">
        <w:rPr>
          <w:rFonts w:ascii="Rockwell" w:hAnsi="Rockwell"/>
          <w:noProof/>
          <w:sz w:val="24"/>
          <w:szCs w:val="24"/>
        </w:rPr>
        <w:t>1</w:t>
      </w:r>
      <w:r w:rsidRPr="0061020E">
        <w:rPr>
          <w:rFonts w:ascii="Rockwell" w:hAnsi="Rockwell"/>
          <w:sz w:val="24"/>
          <w:szCs w:val="24"/>
        </w:rPr>
        <w:fldChar w:fldCharType="end"/>
      </w:r>
      <w:r w:rsidRPr="0061020E">
        <w:rPr>
          <w:rFonts w:ascii="Rockwell" w:hAnsi="Rockwell"/>
          <w:sz w:val="24"/>
          <w:szCs w:val="24"/>
        </w:rPr>
        <w:t> </w:t>
      </w:r>
      <w:r w:rsidR="00B10AEB">
        <w:rPr>
          <w:rFonts w:ascii="Rockwell" w:hAnsi="Rockwell"/>
          <w:sz w:val="24"/>
          <w:szCs w:val="24"/>
        </w:rPr>
        <w:t xml:space="preserve">- </w:t>
      </w:r>
      <w:r w:rsidRPr="0061020E">
        <w:rPr>
          <w:rFonts w:ascii="Rockwell" w:hAnsi="Rockwell"/>
          <w:sz w:val="24"/>
          <w:szCs w:val="24"/>
        </w:rPr>
        <w:t>Classes de température de paquet-M</w:t>
      </w:r>
    </w:p>
    <w:tbl>
      <w:tblPr>
        <w:tblW w:w="97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695"/>
        <w:gridCol w:w="2827"/>
        <w:gridCol w:w="2827"/>
        <w:gridCol w:w="2403"/>
      </w:tblGrid>
      <w:tr w:rsidR="00E85A38" w:rsidRPr="006847BA" w:rsidTr="00D72A04">
        <w:trPr>
          <w:jc w:val="center"/>
        </w:trPr>
        <w:tc>
          <w:tcPr>
            <w:tcW w:w="1695" w:type="dxa"/>
            <w:tcBorders>
              <w:top w:val="single" w:sz="12" w:space="0" w:color="auto"/>
              <w:bottom w:val="nil"/>
            </w:tcBorders>
          </w:tcPr>
          <w:p w:rsidR="00E85A38" w:rsidRPr="0061020E" w:rsidRDefault="00E85A38" w:rsidP="008F6018">
            <w:pPr>
              <w:pStyle w:val="Tabletext9"/>
              <w:spacing w:before="0" w:after="120" w:line="240" w:lineRule="auto"/>
              <w:rPr>
                <w:rFonts w:ascii="Rockwell" w:hAnsi="Rockwell"/>
                <w:b/>
                <w:sz w:val="24"/>
                <w:szCs w:val="24"/>
              </w:rPr>
            </w:pPr>
            <w:r w:rsidRPr="0061020E">
              <w:rPr>
                <w:rFonts w:ascii="Rockwell" w:hAnsi="Rockwell"/>
                <w:b/>
                <w:sz w:val="24"/>
                <w:szCs w:val="24"/>
              </w:rPr>
              <w:t>Classe</w:t>
            </w:r>
          </w:p>
        </w:tc>
        <w:tc>
          <w:tcPr>
            <w:tcW w:w="2827" w:type="dxa"/>
          </w:tcPr>
          <w:p w:rsidR="00E85A38" w:rsidRPr="0061020E" w:rsidRDefault="00E85A38" w:rsidP="004D51DA">
            <w:pPr>
              <w:pStyle w:val="Tabletext9"/>
              <w:spacing w:before="0" w:after="120" w:line="240" w:lineRule="auto"/>
              <w:rPr>
                <w:rFonts w:ascii="Rockwell" w:hAnsi="Rockwell"/>
                <w:b/>
                <w:sz w:val="24"/>
                <w:szCs w:val="24"/>
                <w:vertAlign w:val="superscript"/>
              </w:rPr>
            </w:pPr>
            <w:r w:rsidRPr="0061020E">
              <w:rPr>
                <w:rFonts w:ascii="Rockwell" w:hAnsi="Rockwell"/>
                <w:b/>
                <w:sz w:val="24"/>
                <w:szCs w:val="24"/>
              </w:rPr>
              <w:t xml:space="preserve">Température la plus élevée, </w:t>
            </w:r>
            <w:r w:rsidRPr="0061020E">
              <w:rPr>
                <w:rFonts w:ascii="Rockwell" w:hAnsi="Rockwell"/>
                <w:b/>
                <w:sz w:val="24"/>
                <w:szCs w:val="24"/>
              </w:rPr>
              <w:sym w:font="Symbol" w:char="F071"/>
            </w:r>
            <w:r w:rsidRPr="0061020E">
              <w:rPr>
                <w:rFonts w:ascii="Rockwell" w:hAnsi="Rockwell"/>
                <w:b/>
                <w:sz w:val="24"/>
                <w:szCs w:val="24"/>
              </w:rPr>
              <w:t xml:space="preserve">ah, du paquet-M le plus chaud, inférieure ou égale à </w:t>
            </w:r>
            <w:r w:rsidR="00436299">
              <w:rPr>
                <w:rFonts w:ascii="Rockwell" w:hAnsi="Rockwell"/>
                <w:b/>
                <w:sz w:val="24"/>
                <w:szCs w:val="24"/>
              </w:rPr>
              <w:t xml:space="preserve">a </w:t>
            </w:r>
            <w:r w:rsidRPr="0061020E">
              <w:rPr>
                <w:rFonts w:ascii="Rockwell" w:hAnsi="Rockwell"/>
                <w:b/>
                <w:sz w:val="24"/>
                <w:szCs w:val="24"/>
              </w:rPr>
              <w:t>b</w:t>
            </w:r>
            <w:r w:rsidRPr="0061020E">
              <w:rPr>
                <w:rStyle w:val="TableFootNoteXref"/>
                <w:rFonts w:ascii="Rockwell" w:hAnsi="Rockwell"/>
                <w:sz w:val="24"/>
                <w:szCs w:val="24"/>
              </w:rPr>
              <w:t xml:space="preserve">   </w:t>
            </w:r>
          </w:p>
        </w:tc>
        <w:tc>
          <w:tcPr>
            <w:tcW w:w="2827" w:type="dxa"/>
          </w:tcPr>
          <w:p w:rsidR="00E85A38" w:rsidRPr="0061020E" w:rsidRDefault="00E85A38" w:rsidP="008F6018">
            <w:pPr>
              <w:pStyle w:val="Tabletext9"/>
              <w:spacing w:before="0" w:after="120" w:line="240" w:lineRule="auto"/>
              <w:rPr>
                <w:rFonts w:ascii="Rockwell" w:hAnsi="Rockwell"/>
                <w:b/>
                <w:sz w:val="24"/>
                <w:szCs w:val="24"/>
              </w:rPr>
            </w:pPr>
            <w:r w:rsidRPr="0061020E">
              <w:rPr>
                <w:rFonts w:ascii="Rockwell" w:hAnsi="Rockwell"/>
                <w:b/>
                <w:sz w:val="24"/>
                <w:szCs w:val="24"/>
              </w:rPr>
              <w:t>Température la plus basse,</w:t>
            </w:r>
            <w:r w:rsidRPr="0061020E">
              <w:rPr>
                <w:rFonts w:ascii="Rockwell" w:hAnsi="Rockwell"/>
                <w:sz w:val="24"/>
                <w:szCs w:val="24"/>
              </w:rPr>
              <w:t xml:space="preserve"> </w:t>
            </w:r>
            <w:r w:rsidRPr="0061020E">
              <w:rPr>
                <w:rFonts w:ascii="Rockwell" w:hAnsi="Rockwell"/>
                <w:sz w:val="24"/>
                <w:szCs w:val="24"/>
              </w:rPr>
              <w:sym w:font="Symbol" w:char="F071"/>
            </w:r>
            <w:r w:rsidRPr="0061020E">
              <w:rPr>
                <w:rFonts w:ascii="Rockwell" w:hAnsi="Rockwell"/>
                <w:position w:val="-6"/>
                <w:sz w:val="24"/>
                <w:szCs w:val="24"/>
              </w:rPr>
              <w:t>b</w:t>
            </w:r>
            <w:r w:rsidRPr="0061020E">
              <w:rPr>
                <w:rFonts w:ascii="Rockwell" w:hAnsi="Rockwell"/>
                <w:b/>
                <w:sz w:val="24"/>
                <w:szCs w:val="24"/>
              </w:rPr>
              <w:t>,</w:t>
            </w:r>
            <w:r w:rsidRPr="0061020E">
              <w:rPr>
                <w:rFonts w:ascii="Rockwell" w:hAnsi="Rockwell"/>
                <w:b/>
                <w:sz w:val="24"/>
                <w:szCs w:val="24"/>
                <w:vertAlign w:val="subscript"/>
              </w:rPr>
              <w:t xml:space="preserve"> </w:t>
            </w:r>
            <w:r w:rsidRPr="0061020E">
              <w:rPr>
                <w:rFonts w:ascii="Rockwell" w:hAnsi="Rockwell"/>
                <w:b/>
                <w:sz w:val="24"/>
                <w:szCs w:val="24"/>
              </w:rPr>
              <w:t>du paquet-M le plus froid, supérieure ou égale à</w:t>
            </w:r>
            <w:r w:rsidRPr="0061020E">
              <w:rPr>
                <w:rStyle w:val="TableFootNoteXref"/>
                <w:rFonts w:ascii="Rockwell" w:hAnsi="Rockwell"/>
                <w:sz w:val="24"/>
                <w:szCs w:val="24"/>
              </w:rPr>
              <w:t xml:space="preserve"> b  </w:t>
            </w:r>
          </w:p>
        </w:tc>
        <w:tc>
          <w:tcPr>
            <w:tcW w:w="2403" w:type="dxa"/>
          </w:tcPr>
          <w:p w:rsidR="00E85A38" w:rsidRPr="0061020E" w:rsidRDefault="00E85A38" w:rsidP="008F6018">
            <w:pPr>
              <w:pStyle w:val="Tabletext9"/>
              <w:spacing w:before="0" w:after="120" w:line="240" w:lineRule="auto"/>
              <w:rPr>
                <w:rFonts w:ascii="Rockwell" w:hAnsi="Rockwell"/>
                <w:b/>
                <w:sz w:val="24"/>
                <w:szCs w:val="24"/>
              </w:rPr>
            </w:pPr>
            <w:r w:rsidRPr="0061020E">
              <w:rPr>
                <w:rFonts w:ascii="Rockwell" w:hAnsi="Rockwell"/>
                <w:b/>
                <w:sz w:val="24"/>
                <w:szCs w:val="24"/>
              </w:rPr>
              <w:t xml:space="preserve">Température minimale la plus élevée, </w:t>
            </w:r>
            <w:r w:rsidRPr="0061020E">
              <w:rPr>
                <w:rFonts w:ascii="Rockwell" w:hAnsi="Rockwell"/>
                <w:b/>
                <w:sz w:val="24"/>
                <w:szCs w:val="24"/>
              </w:rPr>
              <w:sym w:font="Symbol" w:char="F071"/>
            </w:r>
            <w:r w:rsidRPr="0061020E">
              <w:rPr>
                <w:rFonts w:ascii="Rockwell" w:hAnsi="Rockwell"/>
                <w:b/>
                <w:sz w:val="24"/>
                <w:szCs w:val="24"/>
              </w:rPr>
              <w:t>ah, de tous les  paquets-M, inférieure ou égale à a</w:t>
            </w:r>
            <w:r w:rsidRPr="0061020E">
              <w:rPr>
                <w:rStyle w:val="TableFootNoteXref"/>
                <w:rFonts w:ascii="Rockwell" w:hAnsi="Rockwell"/>
                <w:sz w:val="24"/>
                <w:szCs w:val="24"/>
              </w:rPr>
              <w:t xml:space="preserve"> </w:t>
            </w:r>
            <w:r w:rsidRPr="0061020E">
              <w:rPr>
                <w:rFonts w:ascii="Rockwell" w:hAnsi="Rockwell"/>
                <w:b/>
                <w:sz w:val="24"/>
                <w:szCs w:val="24"/>
              </w:rPr>
              <w:t xml:space="preserve"> </w:t>
            </w:r>
          </w:p>
        </w:tc>
      </w:tr>
      <w:tr w:rsidR="00E85A38" w:rsidRPr="006847BA" w:rsidTr="00D72A04">
        <w:trPr>
          <w:jc w:val="center"/>
        </w:trPr>
        <w:tc>
          <w:tcPr>
            <w:tcW w:w="1695" w:type="dxa"/>
            <w:tcBorders>
              <w:top w:val="nil"/>
              <w:bottom w:val="single" w:sz="12" w:space="0" w:color="auto"/>
            </w:tcBorders>
          </w:tcPr>
          <w:p w:rsidR="00E85A38" w:rsidRPr="0061020E" w:rsidRDefault="00E85A38" w:rsidP="008F6018">
            <w:pPr>
              <w:pStyle w:val="Tabletext9"/>
              <w:spacing w:before="0" w:after="120" w:line="240" w:lineRule="auto"/>
              <w:rPr>
                <w:rFonts w:ascii="Rockwell" w:hAnsi="Rockwell"/>
                <w:sz w:val="24"/>
                <w:szCs w:val="24"/>
              </w:rPr>
            </w:pPr>
          </w:p>
        </w:tc>
        <w:tc>
          <w:tcPr>
            <w:tcW w:w="8057" w:type="dxa"/>
            <w:gridSpan w:val="3"/>
            <w:tcBorders>
              <w:bottom w:val="single" w:sz="12"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°C</w:t>
            </w:r>
          </w:p>
        </w:tc>
      </w:tr>
      <w:tr w:rsidR="00E85A38" w:rsidRPr="006847BA" w:rsidTr="00D72A04">
        <w:trPr>
          <w:jc w:val="center"/>
        </w:trPr>
        <w:tc>
          <w:tcPr>
            <w:tcW w:w="1695" w:type="dxa"/>
            <w:tcBorders>
              <w:top w:val="single" w:sz="12"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L1</w:t>
            </w:r>
          </w:p>
        </w:tc>
        <w:tc>
          <w:tcPr>
            <w:tcW w:w="2827" w:type="dxa"/>
            <w:tcBorders>
              <w:top w:val="single" w:sz="12"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15</w:t>
            </w:r>
          </w:p>
        </w:tc>
        <w:tc>
          <w:tcPr>
            <w:tcW w:w="2827" w:type="dxa"/>
            <w:tcBorders>
              <w:top w:val="single" w:sz="12"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c>
          <w:tcPr>
            <w:tcW w:w="2403" w:type="dxa"/>
            <w:tcBorders>
              <w:top w:val="single" w:sz="12"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18</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L2</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12</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18</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L3</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12</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15</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M0</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+4</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M*</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6</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M1</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B"/>
            </w:r>
            <w:r w:rsidRPr="0061020E">
              <w:rPr>
                <w:rFonts w:ascii="Rockwell" w:hAnsi="Rockwell"/>
                <w:sz w:val="24"/>
                <w:szCs w:val="24"/>
              </w:rPr>
              <w:t>5</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M2</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B"/>
            </w:r>
            <w:r w:rsidRPr="0061020E">
              <w:rPr>
                <w:rFonts w:ascii="Rockwell" w:hAnsi="Rockwell"/>
                <w:sz w:val="24"/>
                <w:szCs w:val="24"/>
              </w:rPr>
              <w:t>7</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H1</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B"/>
            </w:r>
            <w:r w:rsidRPr="0061020E">
              <w:rPr>
                <w:rFonts w:ascii="Rockwell" w:hAnsi="Rockwell"/>
                <w:sz w:val="24"/>
                <w:szCs w:val="24"/>
              </w:rPr>
              <w:t>10</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B"/>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r>
      <w:tr w:rsidR="00E85A38" w:rsidRPr="006847BA" w:rsidTr="00D72A04">
        <w:trPr>
          <w:jc w:val="center"/>
        </w:trPr>
        <w:tc>
          <w:tcPr>
            <w:tcW w:w="1695"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H2</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B"/>
            </w:r>
            <w:r w:rsidRPr="0061020E">
              <w:rPr>
                <w:rFonts w:ascii="Rockwell" w:hAnsi="Rockwell"/>
                <w:sz w:val="24"/>
                <w:szCs w:val="24"/>
              </w:rPr>
              <w:t>10</w:t>
            </w:r>
          </w:p>
        </w:tc>
        <w:tc>
          <w:tcPr>
            <w:tcW w:w="2827"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sym w:font="Symbol" w:char="F02D"/>
            </w:r>
            <w:r w:rsidRPr="0061020E">
              <w:rPr>
                <w:rFonts w:ascii="Rockwell" w:hAnsi="Rockwell"/>
                <w:sz w:val="24"/>
                <w:szCs w:val="24"/>
              </w:rPr>
              <w:t>1</w:t>
            </w:r>
          </w:p>
        </w:tc>
        <w:tc>
          <w:tcPr>
            <w:tcW w:w="2403" w:type="dxa"/>
            <w:tcBorders>
              <w:top w:val="single" w:sz="6" w:space="0" w:color="auto"/>
              <w:bottom w:val="single" w:sz="6"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w:t>
            </w:r>
          </w:p>
        </w:tc>
      </w:tr>
      <w:tr w:rsidR="00E85A38" w:rsidRPr="006847BA" w:rsidTr="00D72A04">
        <w:trPr>
          <w:jc w:val="center"/>
        </w:trPr>
        <w:tc>
          <w:tcPr>
            <w:tcW w:w="1695" w:type="dxa"/>
            <w:tcBorders>
              <w:top w:val="single" w:sz="6" w:space="0" w:color="auto"/>
              <w:bottom w:val="single" w:sz="12"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S</w:t>
            </w:r>
          </w:p>
        </w:tc>
        <w:tc>
          <w:tcPr>
            <w:tcW w:w="8057" w:type="dxa"/>
            <w:gridSpan w:val="3"/>
            <w:tcBorders>
              <w:top w:val="single" w:sz="6" w:space="0" w:color="auto"/>
              <w:bottom w:val="single" w:sz="12" w:space="0" w:color="auto"/>
            </w:tcBorders>
          </w:tcPr>
          <w:p w:rsidR="00E85A38" w:rsidRPr="0061020E" w:rsidRDefault="00E85A38" w:rsidP="008F6018">
            <w:pPr>
              <w:pStyle w:val="Tabletext9"/>
              <w:spacing w:before="0" w:after="120" w:line="240" w:lineRule="auto"/>
              <w:rPr>
                <w:rFonts w:ascii="Rockwell" w:hAnsi="Rockwell"/>
                <w:sz w:val="24"/>
                <w:szCs w:val="24"/>
              </w:rPr>
            </w:pPr>
            <w:r w:rsidRPr="0061020E">
              <w:rPr>
                <w:rFonts w:ascii="Rockwell" w:hAnsi="Rockwell"/>
                <w:sz w:val="24"/>
                <w:szCs w:val="24"/>
              </w:rPr>
              <w:t>Classification spéciale</w:t>
            </w:r>
          </w:p>
        </w:tc>
      </w:tr>
      <w:tr w:rsidR="00E85A38" w:rsidRPr="006847BA" w:rsidTr="00D72A04">
        <w:trPr>
          <w:jc w:val="center"/>
        </w:trPr>
        <w:tc>
          <w:tcPr>
            <w:tcW w:w="9752" w:type="dxa"/>
            <w:gridSpan w:val="4"/>
            <w:tcBorders>
              <w:top w:val="single" w:sz="12" w:space="0" w:color="auto"/>
              <w:bottom w:val="single" w:sz="12" w:space="0" w:color="auto"/>
            </w:tcBorders>
          </w:tcPr>
          <w:p w:rsidR="00E85A38" w:rsidRPr="0061020E" w:rsidRDefault="00E85A38" w:rsidP="008F6018">
            <w:pPr>
              <w:pStyle w:val="Tablefootnote"/>
              <w:spacing w:before="0" w:after="120" w:line="240" w:lineRule="auto"/>
              <w:rPr>
                <w:rFonts w:ascii="Rockwell" w:hAnsi="Rockwell"/>
                <w:sz w:val="24"/>
                <w:szCs w:val="24"/>
              </w:rPr>
            </w:pPr>
            <w:r w:rsidRPr="0061020E">
              <w:rPr>
                <w:rStyle w:val="TableFootNoteXref"/>
                <w:rFonts w:ascii="Rockwell" w:hAnsi="Rockwell"/>
                <w:sz w:val="24"/>
                <w:szCs w:val="24"/>
              </w:rPr>
              <w:t>a</w:t>
            </w:r>
            <w:r w:rsidRPr="0061020E">
              <w:rPr>
                <w:rFonts w:ascii="Rockwell" w:hAnsi="Rockwell"/>
                <w:sz w:val="24"/>
                <w:szCs w:val="24"/>
              </w:rPr>
              <w:tab/>
              <w:t>Voir Figure 30a</w:t>
            </w:r>
          </w:p>
          <w:p w:rsidR="00E85A38" w:rsidRPr="0061020E" w:rsidRDefault="00E85A38" w:rsidP="008F6018">
            <w:pPr>
              <w:pStyle w:val="Tablefootnote"/>
              <w:spacing w:before="0" w:after="120" w:line="240" w:lineRule="auto"/>
              <w:rPr>
                <w:rFonts w:ascii="Rockwell" w:hAnsi="Rockwell"/>
                <w:sz w:val="24"/>
                <w:szCs w:val="24"/>
              </w:rPr>
            </w:pPr>
            <w:r w:rsidRPr="0061020E">
              <w:rPr>
                <w:rStyle w:val="TableFootNoteXref"/>
                <w:rFonts w:ascii="Rockwell" w:hAnsi="Rockwell"/>
                <w:sz w:val="24"/>
                <w:szCs w:val="24"/>
              </w:rPr>
              <w:lastRenderedPageBreak/>
              <w:t>b</w:t>
            </w:r>
            <w:r w:rsidRPr="0061020E">
              <w:rPr>
                <w:rFonts w:ascii="Rockwell" w:hAnsi="Rockwell"/>
                <w:sz w:val="24"/>
                <w:szCs w:val="24"/>
              </w:rPr>
              <w:tab/>
              <w:t>Voir Figure 30b</w:t>
            </w:r>
          </w:p>
        </w:tc>
      </w:tr>
      <w:tr w:rsidR="00E85A38" w:rsidRPr="006847BA" w:rsidTr="00D72A04">
        <w:trPr>
          <w:jc w:val="center"/>
        </w:trPr>
        <w:tc>
          <w:tcPr>
            <w:tcW w:w="9752" w:type="dxa"/>
            <w:gridSpan w:val="4"/>
            <w:tcBorders>
              <w:top w:val="single" w:sz="12" w:space="0" w:color="auto"/>
              <w:bottom w:val="single" w:sz="12" w:space="0" w:color="auto"/>
            </w:tcBorders>
          </w:tcPr>
          <w:p w:rsidR="00E85A38" w:rsidRPr="0061020E" w:rsidRDefault="00E85A38" w:rsidP="008F6018">
            <w:pPr>
              <w:pStyle w:val="Tablefootnote"/>
              <w:spacing w:before="0" w:after="120" w:line="240" w:lineRule="auto"/>
              <w:rPr>
                <w:rStyle w:val="TableFootNoteXref"/>
                <w:rFonts w:ascii="Rockwell" w:hAnsi="Rockwell"/>
                <w:sz w:val="24"/>
                <w:szCs w:val="24"/>
              </w:rPr>
            </w:pPr>
            <w:r w:rsidRPr="0061020E">
              <w:rPr>
                <w:rStyle w:val="TableFootNoteXref"/>
                <w:rFonts w:ascii="Rockwell" w:hAnsi="Rockwell"/>
                <w:sz w:val="24"/>
                <w:szCs w:val="24"/>
              </w:rPr>
              <w:lastRenderedPageBreak/>
              <w:t xml:space="preserve">*  Pour la classe M, température maximale du paquet le plus chaud </w:t>
            </w:r>
            <w:r w:rsidRPr="0061020E">
              <w:rPr>
                <w:rFonts w:ascii="Rockwell" w:hAnsi="Rockwell"/>
                <w:sz w:val="24"/>
                <w:szCs w:val="24"/>
              </w:rPr>
              <w:sym w:font="Symbol" w:char="F071"/>
            </w:r>
            <w:r w:rsidRPr="0061020E">
              <w:rPr>
                <w:rFonts w:ascii="Rockwell" w:hAnsi="Rockwell"/>
                <w:position w:val="-6"/>
                <w:sz w:val="24"/>
                <w:szCs w:val="24"/>
              </w:rPr>
              <w:t>ah</w:t>
            </w:r>
            <w:r w:rsidRPr="0061020E">
              <w:rPr>
                <w:rStyle w:val="TableFootNoteXref"/>
                <w:rFonts w:ascii="Rockwell" w:hAnsi="Rockwell"/>
                <w:sz w:val="24"/>
                <w:szCs w:val="24"/>
              </w:rPr>
              <w:t xml:space="preserve"> inférieure ou égale à 6,1°C, mais la moyenne des paquets-M les plus chauds de température inférieure ou égale à 5° C </w:t>
            </w:r>
          </w:p>
        </w:tc>
      </w:tr>
    </w:tbl>
    <w:p w:rsidR="00E85A38" w:rsidRPr="0061020E" w:rsidRDefault="00E85A38" w:rsidP="008F6018">
      <w:pPr>
        <w:spacing w:after="120" w:line="240" w:lineRule="auto"/>
        <w:jc w:val="both"/>
        <w:rPr>
          <w:rFonts w:ascii="Rockwell" w:hAnsi="Rockwell"/>
          <w:sz w:val="24"/>
          <w:szCs w:val="24"/>
          <w:lang w:val="fr-CA"/>
        </w:rPr>
      </w:pPr>
    </w:p>
    <w:p w:rsidR="00E85A38" w:rsidRPr="0061020E" w:rsidRDefault="00E85A38" w:rsidP="008F6018">
      <w:pPr>
        <w:pStyle w:val="Titre4"/>
        <w:spacing w:before="0" w:after="120" w:line="240" w:lineRule="auto"/>
        <w:jc w:val="both"/>
        <w:rPr>
          <w:rFonts w:ascii="Rockwell" w:hAnsi="Rockwell"/>
          <w:color w:val="auto"/>
          <w:sz w:val="24"/>
          <w:szCs w:val="24"/>
        </w:rPr>
      </w:pPr>
      <w:bookmarkStart w:id="394" w:name="_Toc367267578"/>
      <w:bookmarkStart w:id="395" w:name="_Toc370913926"/>
      <w:bookmarkStart w:id="396" w:name="_Toc372552758"/>
      <w:bookmarkStart w:id="397" w:name="_Toc462982531"/>
      <w:bookmarkStart w:id="398" w:name="_Toc505063328"/>
      <w:r w:rsidRPr="0061020E">
        <w:rPr>
          <w:rFonts w:ascii="Rockwell" w:hAnsi="Rockwell"/>
          <w:color w:val="auto"/>
          <w:sz w:val="24"/>
          <w:szCs w:val="24"/>
        </w:rPr>
        <w:t>j) Dégivrage</w:t>
      </w:r>
      <w:bookmarkEnd w:id="394"/>
      <w:bookmarkEnd w:id="395"/>
      <w:bookmarkEnd w:id="396"/>
      <w:bookmarkEnd w:id="397"/>
      <w:bookmarkEnd w:id="398"/>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L’accumulation de glace, de givre ou de neige sur des surfaces à l’intérieur de l’espace réfrigéré (surfaces des paquets d’essai exclues), ainsi que l’accumulation d’eau de dégivrage écoulée ne doivent pas se produire, car cela compromettrait les performances de meubles autres que ceux destinés à être dégivrés manuellement. Cela doit être vérifié suivant les conditions et les méthodes d’essai spécifiées </w:t>
      </w:r>
      <w:r w:rsidR="008C5C24">
        <w:rPr>
          <w:rFonts w:ascii="Rockwell" w:hAnsi="Rockwell"/>
          <w:sz w:val="24"/>
          <w:szCs w:val="24"/>
          <w:lang w:val="fr-CA"/>
        </w:rPr>
        <w:t>dans la présente norme</w:t>
      </w:r>
      <w:r w:rsidRPr="0061020E">
        <w:rPr>
          <w:rFonts w:ascii="Rockwell" w:hAnsi="Rockwell"/>
          <w:sz w:val="24"/>
          <w:szCs w:val="24"/>
          <w:lang w:val="fr-CA"/>
        </w:rPr>
        <w:t>.</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procédures de dégivrage proposées (automatiques ou manuelles) ne doivent pas influer sur les conditions de température.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Pour les meubles ou les parties de meubles avec dégivrage manuel, le fabricant doit fournir toutes les instructions nécessaires </w:t>
      </w:r>
      <w:r w:rsidR="004D51DA">
        <w:rPr>
          <w:rFonts w:ascii="Rockwell" w:hAnsi="Rockwell"/>
          <w:sz w:val="24"/>
          <w:szCs w:val="24"/>
          <w:lang w:val="fr-CA"/>
        </w:rPr>
        <w:t>au</w:t>
      </w:r>
      <w:r w:rsidRPr="0061020E">
        <w:rPr>
          <w:rFonts w:ascii="Rockwell" w:hAnsi="Rockwell"/>
          <w:sz w:val="24"/>
          <w:szCs w:val="24"/>
          <w:lang w:val="fr-CA"/>
        </w:rPr>
        <w:t xml:space="preserve"> fonctionnement correct du système de dégivrage.</w:t>
      </w:r>
    </w:p>
    <w:p w:rsidR="00E85A38" w:rsidRPr="001142C1" w:rsidRDefault="00E85A38" w:rsidP="008F6018">
      <w:pPr>
        <w:spacing w:after="120" w:line="240" w:lineRule="auto"/>
        <w:jc w:val="both"/>
        <w:rPr>
          <w:rFonts w:ascii="Rockwell" w:hAnsi="Rockwell"/>
          <w:color w:val="00B0F0"/>
          <w:sz w:val="24"/>
          <w:szCs w:val="24"/>
        </w:rPr>
      </w:pPr>
      <w:bookmarkStart w:id="399" w:name="_Toc367267579"/>
      <w:bookmarkStart w:id="400" w:name="_Toc370913927"/>
      <w:bookmarkStart w:id="401" w:name="_Toc372552759"/>
      <w:bookmarkStart w:id="402" w:name="_Toc462982532"/>
      <w:r w:rsidRPr="001142C1">
        <w:rPr>
          <w:rFonts w:ascii="Rockwell" w:hAnsi="Rockwell"/>
          <w:color w:val="00B0F0"/>
          <w:sz w:val="24"/>
          <w:szCs w:val="24"/>
        </w:rPr>
        <w:t>Condensation de la vapeur d’eau</w:t>
      </w:r>
      <w:bookmarkEnd w:id="399"/>
      <w:bookmarkEnd w:id="400"/>
      <w:bookmarkEnd w:id="401"/>
      <w:bookmarkEnd w:id="402"/>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Les performances des meubles ne doivent pas être altérées par la condensation de vapeur d’eau. La quantité de condensation de vapeur d’eau doit être vérifiée suivant les conditions et les méthodes d’essai spécifiées </w:t>
      </w:r>
      <w:r w:rsidR="008C5C24">
        <w:rPr>
          <w:rFonts w:ascii="Rockwell" w:hAnsi="Rockwell"/>
          <w:sz w:val="24"/>
          <w:szCs w:val="24"/>
          <w:lang w:val="fr-CA"/>
        </w:rPr>
        <w:t>dans la présente norme</w:t>
      </w:r>
      <w:r w:rsidRPr="0061020E">
        <w:rPr>
          <w:rFonts w:ascii="Rockwell" w:hAnsi="Rockwell"/>
          <w:sz w:val="24"/>
          <w:szCs w:val="24"/>
          <w:lang w:val="fr-CA"/>
        </w:rPr>
        <w:t>.</w:t>
      </w:r>
    </w:p>
    <w:p w:rsidR="00E85A38" w:rsidRPr="001142C1" w:rsidRDefault="00E85A38" w:rsidP="008F6018">
      <w:pPr>
        <w:spacing w:after="120" w:line="240" w:lineRule="auto"/>
        <w:jc w:val="both"/>
        <w:rPr>
          <w:rFonts w:ascii="Rockwell" w:hAnsi="Rockwell"/>
          <w:color w:val="00B0F0"/>
          <w:sz w:val="24"/>
          <w:szCs w:val="24"/>
        </w:rPr>
      </w:pPr>
      <w:bookmarkStart w:id="403" w:name="_Toc367267580"/>
      <w:bookmarkStart w:id="404" w:name="_Toc370913928"/>
      <w:bookmarkStart w:id="405" w:name="_Toc372552760"/>
      <w:bookmarkStart w:id="406" w:name="_Toc462982533"/>
      <w:r w:rsidRPr="001142C1">
        <w:rPr>
          <w:rFonts w:ascii="Rockwell" w:hAnsi="Rockwell"/>
          <w:color w:val="00B0F0"/>
          <w:sz w:val="24"/>
          <w:szCs w:val="24"/>
        </w:rPr>
        <w:t>Consommation d’énergie</w:t>
      </w:r>
      <w:bookmarkEnd w:id="403"/>
      <w:bookmarkEnd w:id="404"/>
      <w:bookmarkEnd w:id="405"/>
      <w:bookmarkEnd w:id="406"/>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puissance frigorifique utile et la consommation d’énergie doivent être indiquées par le fabricant.</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La consommation d’énergie électrique directe (DEC) et, lorsque le groupe de condensation est éloigné du meuble, la consommation d’énergie électrique de réfrigération (REC) et la consommation d’énergie totale (TEC), doivent être mesurées et calculées</w:t>
      </w:r>
      <w:r w:rsidR="004D51DA">
        <w:rPr>
          <w:rFonts w:ascii="Rockwell" w:hAnsi="Rockwell"/>
          <w:sz w:val="24"/>
          <w:szCs w:val="24"/>
          <w:lang w:val="fr-CA"/>
        </w:rPr>
        <w:t>,</w:t>
      </w:r>
      <w:r w:rsidRPr="0061020E">
        <w:rPr>
          <w:rFonts w:ascii="Rockwell" w:hAnsi="Rockwell"/>
          <w:sz w:val="24"/>
          <w:szCs w:val="24"/>
          <w:lang w:val="fr-CA"/>
        </w:rPr>
        <w:t xml:space="preserve"> suivant les conditions et les méthodes d’essai spécifiées </w:t>
      </w:r>
      <w:r w:rsidR="008C5C24">
        <w:rPr>
          <w:rFonts w:ascii="Rockwell" w:hAnsi="Rockwell"/>
          <w:sz w:val="24"/>
          <w:szCs w:val="24"/>
          <w:lang w:val="fr-CA"/>
        </w:rPr>
        <w:t>dans la présente norme</w:t>
      </w:r>
      <w:r w:rsidRPr="0061020E">
        <w:rPr>
          <w:rFonts w:ascii="Rockwell" w:hAnsi="Rockwell"/>
          <w:sz w:val="24"/>
          <w:szCs w:val="24"/>
          <w:lang w:val="fr-CA"/>
        </w:rPr>
        <w:t>.</w:t>
      </w:r>
    </w:p>
    <w:p w:rsidR="00E85A38" w:rsidRPr="001142C1" w:rsidRDefault="00E85A38" w:rsidP="008F6018">
      <w:pPr>
        <w:spacing w:after="120" w:line="240" w:lineRule="auto"/>
        <w:jc w:val="both"/>
        <w:rPr>
          <w:rFonts w:ascii="Rockwell" w:hAnsi="Rockwell"/>
          <w:color w:val="00B0F0"/>
          <w:sz w:val="24"/>
          <w:szCs w:val="24"/>
        </w:rPr>
      </w:pPr>
      <w:bookmarkStart w:id="407" w:name="_Toc367267581"/>
      <w:bookmarkStart w:id="408" w:name="_Toc370913929"/>
      <w:bookmarkStart w:id="409" w:name="_Toc372552761"/>
      <w:bookmarkStart w:id="410" w:name="_Toc462982534"/>
      <w:r w:rsidRPr="001142C1">
        <w:rPr>
          <w:rFonts w:ascii="Rockwell" w:hAnsi="Rockwell"/>
          <w:color w:val="00B0F0"/>
          <w:sz w:val="24"/>
          <w:szCs w:val="24"/>
        </w:rPr>
        <w:t>Consommation énergétique spécifique</w:t>
      </w:r>
      <w:bookmarkEnd w:id="407"/>
      <w:bookmarkEnd w:id="408"/>
      <w:bookmarkEnd w:id="409"/>
      <w:bookmarkEnd w:id="410"/>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consommations énergétiques spécifiques du meuble (SEC) comme rapport entre la TEC et la TDA doivent être indiquées par le fabricant, cette valeur représentant le meilleur indice pour l'évaluation des caractéristiques d'un meuble frigorifique de vente.</w:t>
      </w:r>
    </w:p>
    <w:p w:rsidR="00E85A38" w:rsidRDefault="00E85A38" w:rsidP="008F6018">
      <w:pPr>
        <w:pStyle w:val="Titre1"/>
        <w:spacing w:after="120"/>
        <w:jc w:val="both"/>
        <w:rPr>
          <w:rFonts w:ascii="Rockwell" w:hAnsi="Rockwell"/>
          <w:lang w:val="fr-CA"/>
        </w:rPr>
      </w:pPr>
    </w:p>
    <w:p w:rsidR="00E85A38" w:rsidRPr="0061020E" w:rsidRDefault="00E85A38" w:rsidP="008F6018">
      <w:pPr>
        <w:pStyle w:val="Tabletitle"/>
        <w:spacing w:before="0" w:line="240" w:lineRule="auto"/>
        <w:jc w:val="both"/>
        <w:rPr>
          <w:rFonts w:ascii="Rockwell" w:hAnsi="Rockwell"/>
          <w:sz w:val="24"/>
          <w:szCs w:val="24"/>
        </w:rPr>
      </w:pPr>
      <w:r w:rsidRPr="0061020E">
        <w:rPr>
          <w:rFonts w:ascii="Rockwell" w:hAnsi="Rockwell"/>
          <w:sz w:val="24"/>
          <w:szCs w:val="24"/>
        </w:rPr>
        <w:t>Tableau </w:t>
      </w:r>
      <w:r w:rsidRPr="0061020E">
        <w:rPr>
          <w:rFonts w:ascii="Rockwell" w:hAnsi="Rockwell"/>
          <w:sz w:val="24"/>
          <w:szCs w:val="24"/>
        </w:rPr>
        <w:fldChar w:fldCharType="begin"/>
      </w:r>
      <w:r w:rsidRPr="0061020E">
        <w:rPr>
          <w:rFonts w:ascii="Rockwell" w:hAnsi="Rockwell"/>
          <w:sz w:val="24"/>
          <w:szCs w:val="24"/>
        </w:rPr>
        <w:instrText xml:space="preserve">SEQ Table </w:instrText>
      </w:r>
      <w:r w:rsidRPr="0061020E">
        <w:rPr>
          <w:rFonts w:ascii="Rockwell" w:hAnsi="Rockwell"/>
          <w:sz w:val="24"/>
          <w:szCs w:val="24"/>
        </w:rPr>
        <w:fldChar w:fldCharType="separate"/>
      </w:r>
      <w:r w:rsidR="001C5251">
        <w:rPr>
          <w:rFonts w:ascii="Rockwell" w:hAnsi="Rockwell"/>
          <w:noProof/>
          <w:sz w:val="24"/>
          <w:szCs w:val="24"/>
        </w:rPr>
        <w:t>2</w:t>
      </w:r>
      <w:r w:rsidRPr="0061020E">
        <w:rPr>
          <w:rFonts w:ascii="Rockwell" w:hAnsi="Rockwell"/>
          <w:sz w:val="24"/>
          <w:szCs w:val="24"/>
        </w:rPr>
        <w:fldChar w:fldCharType="end"/>
      </w:r>
      <w:r w:rsidRPr="0061020E">
        <w:rPr>
          <w:rFonts w:ascii="Rockwell" w:hAnsi="Rockwell"/>
          <w:sz w:val="24"/>
          <w:szCs w:val="24"/>
        </w:rPr>
        <w:t> — Désignation des familles de meubles frigorifiques de vente</w:t>
      </w:r>
    </w:p>
    <w:p w:rsidR="00E85A38"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(Annexe A, informative de l'ISO 23953-1)</w:t>
      </w:r>
    </w:p>
    <w:tbl>
      <w:tblPr>
        <w:tblW w:w="10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3792"/>
        <w:gridCol w:w="177"/>
        <w:gridCol w:w="567"/>
        <w:gridCol w:w="3827"/>
        <w:gridCol w:w="567"/>
      </w:tblGrid>
      <w:tr w:rsidR="00E85A38" w:rsidRPr="006847BA" w:rsidTr="009D6A6D">
        <w:trPr>
          <w:cantSplit/>
          <w:jc w:val="center"/>
        </w:trPr>
        <w:tc>
          <w:tcPr>
            <w:tcW w:w="1346" w:type="dxa"/>
          </w:tcPr>
          <w:p w:rsidR="00E85A38" w:rsidRPr="0061020E" w:rsidRDefault="00E85A38" w:rsidP="008F6018">
            <w:pPr>
              <w:pStyle w:val="Corpsdetexte"/>
              <w:spacing w:line="240" w:lineRule="auto"/>
              <w:jc w:val="both"/>
              <w:rPr>
                <w:rFonts w:ascii="Rockwell" w:hAnsi="Rockwell"/>
                <w:b/>
                <w:sz w:val="24"/>
                <w:szCs w:val="24"/>
              </w:rPr>
            </w:pPr>
            <w:r w:rsidRPr="0061020E">
              <w:rPr>
                <w:rFonts w:ascii="Rockwell" w:hAnsi="Rockwell"/>
                <w:b/>
                <w:sz w:val="24"/>
                <w:szCs w:val="24"/>
              </w:rPr>
              <w:t>Application</w:t>
            </w:r>
          </w:p>
        </w:tc>
        <w:tc>
          <w:tcPr>
            <w:tcW w:w="4536" w:type="dxa"/>
            <w:gridSpan w:val="3"/>
          </w:tcPr>
          <w:p w:rsidR="00E85A38" w:rsidRPr="0061020E" w:rsidRDefault="00E85A38" w:rsidP="008F6018">
            <w:pPr>
              <w:pStyle w:val="Corpsdetexte"/>
              <w:spacing w:line="240" w:lineRule="auto"/>
              <w:jc w:val="both"/>
              <w:rPr>
                <w:rFonts w:ascii="Rockwell" w:hAnsi="Rockwell"/>
                <w:b/>
                <w:sz w:val="24"/>
                <w:szCs w:val="24"/>
              </w:rPr>
            </w:pPr>
            <w:r w:rsidRPr="0061020E">
              <w:rPr>
                <w:rFonts w:ascii="Rockwell" w:hAnsi="Rockwell"/>
                <w:b/>
                <w:sz w:val="24"/>
                <w:szCs w:val="24"/>
              </w:rPr>
              <w:t>Température positive</w:t>
            </w:r>
          </w:p>
        </w:tc>
        <w:tc>
          <w:tcPr>
            <w:tcW w:w="4394" w:type="dxa"/>
            <w:gridSpan w:val="2"/>
          </w:tcPr>
          <w:p w:rsidR="00E85A38" w:rsidRPr="0061020E" w:rsidRDefault="00E85A38" w:rsidP="008F6018">
            <w:pPr>
              <w:pStyle w:val="Corpsdetexte"/>
              <w:spacing w:line="240" w:lineRule="auto"/>
              <w:jc w:val="both"/>
              <w:rPr>
                <w:rFonts w:ascii="Rockwell" w:hAnsi="Rockwell"/>
                <w:b/>
                <w:sz w:val="24"/>
                <w:szCs w:val="24"/>
              </w:rPr>
            </w:pPr>
            <w:r w:rsidRPr="0061020E">
              <w:rPr>
                <w:rFonts w:ascii="Rockwell" w:hAnsi="Rockwell"/>
                <w:b/>
                <w:sz w:val="24"/>
                <w:szCs w:val="24"/>
              </w:rPr>
              <w:t>Température négative</w:t>
            </w:r>
          </w:p>
        </w:tc>
      </w:tr>
      <w:tr w:rsidR="00E85A38" w:rsidRPr="006847BA" w:rsidTr="009D6A6D">
        <w:trPr>
          <w:cantSplit/>
          <w:jc w:val="center"/>
        </w:trPr>
        <w:tc>
          <w:tcPr>
            <w:tcW w:w="1346" w:type="dxa"/>
          </w:tcPr>
          <w:p w:rsidR="00E85A38" w:rsidRPr="0061020E" w:rsidRDefault="00E85A38" w:rsidP="008F6018">
            <w:pPr>
              <w:pStyle w:val="Corpsdetexte"/>
              <w:spacing w:line="240" w:lineRule="auto"/>
              <w:jc w:val="both"/>
              <w:rPr>
                <w:rFonts w:ascii="Rockwell" w:hAnsi="Rockwell"/>
                <w:b/>
                <w:sz w:val="24"/>
                <w:szCs w:val="24"/>
              </w:rPr>
            </w:pPr>
            <w:r w:rsidRPr="0061020E">
              <w:rPr>
                <w:rFonts w:ascii="Rockwell" w:hAnsi="Rockwell"/>
                <w:b/>
                <w:sz w:val="24"/>
                <w:szCs w:val="24"/>
              </w:rPr>
              <w:t>à utiliser pour</w:t>
            </w:r>
          </w:p>
        </w:tc>
        <w:tc>
          <w:tcPr>
            <w:tcW w:w="4536" w:type="dxa"/>
            <w:gridSpan w:val="3"/>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b/>
                <w:sz w:val="24"/>
                <w:szCs w:val="24"/>
              </w:rPr>
              <w:t>Denrées à l’état réfrigéré</w:t>
            </w:r>
          </w:p>
        </w:tc>
        <w:tc>
          <w:tcPr>
            <w:tcW w:w="4394" w:type="dxa"/>
            <w:gridSpan w:val="2"/>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b/>
                <w:sz w:val="24"/>
                <w:szCs w:val="24"/>
              </w:rPr>
              <w:t>Denrées à l’état congelé et crèmes glacées</w:t>
            </w:r>
          </w:p>
        </w:tc>
      </w:tr>
      <w:tr w:rsidR="00E85A38" w:rsidRPr="006847BA" w:rsidTr="009D6A6D">
        <w:trPr>
          <w:cantSplit/>
          <w:jc w:val="center"/>
        </w:trPr>
        <w:tc>
          <w:tcPr>
            <w:tcW w:w="1346" w:type="dxa"/>
            <w:vMerge w:val="restart"/>
          </w:tcPr>
          <w:p w:rsidR="00F05914" w:rsidRPr="007D44AE" w:rsidRDefault="00F05914" w:rsidP="008F6018">
            <w:pPr>
              <w:pStyle w:val="Corpsdetexte"/>
              <w:spacing w:line="240" w:lineRule="auto"/>
              <w:jc w:val="both"/>
              <w:rPr>
                <w:rFonts w:ascii="Rockwell" w:hAnsi="Rockwell"/>
                <w:sz w:val="24"/>
                <w:szCs w:val="24"/>
                <w:lang w:val="fr-FR"/>
              </w:rPr>
            </w:pPr>
          </w:p>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 xml:space="preserve">Meuble </w:t>
            </w:r>
            <w:r w:rsidRPr="0061020E">
              <w:rPr>
                <w:rFonts w:ascii="Rockwell" w:hAnsi="Rockwell"/>
                <w:sz w:val="24"/>
                <w:szCs w:val="24"/>
              </w:rPr>
              <w:lastRenderedPageBreak/>
              <w:t>horizontal</w:t>
            </w: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lastRenderedPageBreak/>
              <w:t>accès de service ouvert, à service assisté, à température positive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HC1</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accès de service ouvert, à service assisté, à température négative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HF1</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accès de service ouvert, à service assisté, à température positive avec réserve réfrigérée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HC2</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mural horizontal, à température positive ouvert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HC3</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mural horizontal, à température négative ouvert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HF3</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îlot horizontal, à température positive ouvert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HC4</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îlot horizontal, à température négative ouvert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HF4</w:t>
            </w:r>
          </w:p>
        </w:tc>
      </w:tr>
      <w:tr w:rsidR="00E85A38" w:rsidRPr="006847BA" w:rsidTr="00F05914">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 xml:space="preserve">mural horizontal, à température positive vitré au-dessus </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HC5</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mural horizontal, à température négative vitré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HF5</w:t>
            </w:r>
          </w:p>
        </w:tc>
      </w:tr>
      <w:tr w:rsidR="00E85A38" w:rsidRPr="006847BA" w:rsidTr="00C0457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îlot horizontal, à température positive vitré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HC6</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îlot horizontal, à température négative vitré au-dessus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HF6</w:t>
            </w:r>
          </w:p>
        </w:tc>
      </w:tr>
      <w:tr w:rsidR="00E85A38" w:rsidRPr="006847BA" w:rsidTr="00C0457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accès de service fermé, à service assisté, à température positive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HC7</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accès de service fermé, à service assisté, à température négative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HF7</w:t>
            </w:r>
          </w:p>
        </w:tc>
      </w:tr>
      <w:tr w:rsidR="00E85A38" w:rsidRPr="006847BA" w:rsidTr="00C0457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accès de service fermé, à service assisté, à température positive avec réserve réfrigérée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HC 8</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p>
        </w:tc>
      </w:tr>
      <w:tr w:rsidR="00E85A38" w:rsidRPr="006847BA" w:rsidTr="00C0457D">
        <w:trPr>
          <w:cantSplit/>
          <w:jc w:val="center"/>
        </w:trPr>
        <w:tc>
          <w:tcPr>
            <w:tcW w:w="1346" w:type="dxa"/>
            <w:vMerge w:val="restart"/>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Meuble vertical</w:t>
            </w: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semi-vertical, à température positive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VC1</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semi-vertical, à température négative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VF1</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étagères multiples, à température positive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VC2</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étagères multiples, à température négative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VF2</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chariots, à température positive</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VC3</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positive, à portes vitrées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VC4</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négative, à portes vitrées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VF4</w:t>
            </w:r>
          </w:p>
        </w:tc>
      </w:tr>
      <w:tr w:rsidR="00E85A38" w:rsidRPr="006847BA" w:rsidTr="009D6A6D">
        <w:trPr>
          <w:cantSplit/>
          <w:trHeight w:val="480"/>
          <w:jc w:val="center"/>
        </w:trPr>
        <w:tc>
          <w:tcPr>
            <w:tcW w:w="1346" w:type="dxa"/>
            <w:vMerge w:val="restart"/>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Meuble combiné</w:t>
            </w: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positive, placard et bac ouverts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YC1</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négative, placard et bac ouverts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YF1</w:t>
            </w:r>
          </w:p>
        </w:tc>
      </w:tr>
      <w:tr w:rsidR="00E85A38" w:rsidRPr="006847BA" w:rsidTr="009D6A6D">
        <w:trPr>
          <w:cantSplit/>
          <w:trHeight w:val="480"/>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positive, placard ouvert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YC2</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négative, placard ouvert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YF2</w:t>
            </w:r>
          </w:p>
        </w:tc>
      </w:tr>
      <w:tr w:rsidR="00E85A38" w:rsidRPr="006847BA" w:rsidTr="009D6A6D">
        <w:trPr>
          <w:cantSplit/>
          <w:trHeight w:val="480"/>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positive, placard à portes vitrées et bac ouvert</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YC3</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négative, placard à portes vitrées et bac ouvert</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YF3</w:t>
            </w:r>
          </w:p>
        </w:tc>
      </w:tr>
      <w:tr w:rsidR="00E85A38" w:rsidRPr="006847BA" w:rsidTr="009D6A6D">
        <w:trPr>
          <w:cantSplit/>
          <w:trHeight w:val="480"/>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3969" w:type="dxa"/>
            <w:gridSpan w:val="2"/>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positive, placard à portes vitrées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YC4</w:t>
            </w:r>
          </w:p>
        </w:tc>
        <w:tc>
          <w:tcPr>
            <w:tcW w:w="3827" w:type="dxa"/>
          </w:tcPr>
          <w:p w:rsidR="00E85A38" w:rsidRPr="0061020E" w:rsidRDefault="00E85A38" w:rsidP="008F6018">
            <w:pPr>
              <w:pStyle w:val="Corpsdetexte"/>
              <w:spacing w:line="240" w:lineRule="auto"/>
              <w:ind w:right="213"/>
              <w:jc w:val="both"/>
              <w:rPr>
                <w:rFonts w:ascii="Rockwell" w:hAnsi="Rockwell"/>
                <w:sz w:val="24"/>
                <w:szCs w:val="24"/>
              </w:rPr>
            </w:pPr>
            <w:r w:rsidRPr="0061020E">
              <w:rPr>
                <w:rFonts w:ascii="Rockwell" w:hAnsi="Rockwell"/>
                <w:sz w:val="24"/>
                <w:szCs w:val="24"/>
              </w:rPr>
              <w:t>Meuble à température négative, placard à portes vitrées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YF4</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8363" w:type="dxa"/>
            <w:gridSpan w:val="4"/>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Multi-température avec placard et bac ouverts</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YM5</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8363" w:type="dxa"/>
            <w:gridSpan w:val="4"/>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Multi-température avec placard ouvert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YM6</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8363" w:type="dxa"/>
            <w:gridSpan w:val="4"/>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Multi-température avec placard à portes vitrées et bac ouvert</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YM7</w:t>
            </w:r>
          </w:p>
        </w:tc>
      </w:tr>
      <w:tr w:rsidR="00E85A38" w:rsidRPr="006847BA" w:rsidTr="009D6A6D">
        <w:trPr>
          <w:cantSplit/>
          <w:jc w:val="center"/>
        </w:trPr>
        <w:tc>
          <w:tcPr>
            <w:tcW w:w="1346" w:type="dxa"/>
            <w:vMerge/>
          </w:tcPr>
          <w:p w:rsidR="00E85A38" w:rsidRPr="0061020E" w:rsidRDefault="00E85A38" w:rsidP="008F6018">
            <w:pPr>
              <w:pStyle w:val="Corpsdetexte"/>
              <w:spacing w:line="240" w:lineRule="auto"/>
              <w:jc w:val="both"/>
              <w:rPr>
                <w:rFonts w:ascii="Rockwell" w:hAnsi="Rockwell"/>
                <w:sz w:val="24"/>
                <w:szCs w:val="24"/>
              </w:rPr>
            </w:pPr>
          </w:p>
        </w:tc>
        <w:tc>
          <w:tcPr>
            <w:tcW w:w="8363" w:type="dxa"/>
            <w:gridSpan w:val="4"/>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Multi-température avec placard à portes vitrées et bac fermé</w:t>
            </w:r>
          </w:p>
        </w:tc>
        <w:tc>
          <w:tcPr>
            <w:tcW w:w="567" w:type="dxa"/>
            <w:vAlign w:val="center"/>
          </w:tcPr>
          <w:p w:rsidR="00E85A38" w:rsidRPr="0061020E" w:rsidRDefault="00E85A38" w:rsidP="008F6018">
            <w:pPr>
              <w:pStyle w:val="Corpsdetexte"/>
              <w:spacing w:line="240" w:lineRule="auto"/>
              <w:jc w:val="both"/>
              <w:rPr>
                <w:rFonts w:ascii="Rockwell" w:hAnsi="Rockwell"/>
                <w:sz w:val="24"/>
                <w:szCs w:val="24"/>
              </w:rPr>
            </w:pPr>
            <w:r w:rsidRPr="0061020E">
              <w:rPr>
                <w:rFonts w:ascii="Rockwell" w:hAnsi="Rockwell"/>
                <w:sz w:val="24"/>
                <w:szCs w:val="24"/>
              </w:rPr>
              <w:t>YM8</w:t>
            </w:r>
          </w:p>
        </w:tc>
      </w:tr>
      <w:tr w:rsidR="00E85A38" w:rsidRPr="006847BA" w:rsidTr="009D6A6D">
        <w:trPr>
          <w:cantSplit/>
          <w:trHeight w:val="730"/>
          <w:jc w:val="center"/>
        </w:trPr>
        <w:tc>
          <w:tcPr>
            <w:tcW w:w="5138" w:type="dxa"/>
            <w:gridSpan w:val="2"/>
          </w:tcPr>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R = Groupe de condensation à distance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I = Groupe de condensation incorporé</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A = Service </w:t>
            </w:r>
            <w:r w:rsidR="004D51DA" w:rsidRPr="0061020E">
              <w:rPr>
                <w:rFonts w:ascii="Rockwell" w:hAnsi="Rockwell"/>
                <w:sz w:val="24"/>
                <w:szCs w:val="24"/>
                <w:lang w:val="fr-CA"/>
              </w:rPr>
              <w:t>a</w:t>
            </w:r>
            <w:r w:rsidRPr="0061020E">
              <w:rPr>
                <w:rFonts w:ascii="Rockwell" w:hAnsi="Rockwell"/>
                <w:sz w:val="24"/>
                <w:szCs w:val="24"/>
                <w:lang w:val="fr-CA"/>
              </w:rPr>
              <w:t xml:space="preserve">ssisté </w:t>
            </w:r>
          </w:p>
          <w:p w:rsidR="00E85A38" w:rsidRPr="0061020E" w:rsidRDefault="00E85A38" w:rsidP="008F6018">
            <w:pPr>
              <w:spacing w:after="120" w:line="240" w:lineRule="auto"/>
              <w:jc w:val="both"/>
              <w:rPr>
                <w:rFonts w:ascii="Rockwell" w:hAnsi="Rockwell"/>
                <w:sz w:val="24"/>
                <w:szCs w:val="24"/>
              </w:rPr>
            </w:pPr>
            <w:r w:rsidRPr="0061020E">
              <w:rPr>
                <w:rFonts w:ascii="Rockwell" w:hAnsi="Rockwell"/>
                <w:sz w:val="24"/>
                <w:szCs w:val="24"/>
              </w:rPr>
              <w:t xml:space="preserve">S = Libre-service </w:t>
            </w:r>
          </w:p>
          <w:p w:rsidR="00E85A38" w:rsidRPr="0061020E" w:rsidRDefault="00E85A38" w:rsidP="008F6018">
            <w:pPr>
              <w:spacing w:after="120" w:line="240" w:lineRule="auto"/>
              <w:jc w:val="both"/>
              <w:rPr>
                <w:rFonts w:ascii="Rockwell" w:hAnsi="Rockwell"/>
                <w:sz w:val="24"/>
                <w:szCs w:val="24"/>
              </w:rPr>
            </w:pPr>
            <w:r w:rsidRPr="0061020E">
              <w:rPr>
                <w:rFonts w:ascii="Rockwell" w:hAnsi="Rockwell"/>
                <w:sz w:val="24"/>
                <w:szCs w:val="24"/>
              </w:rPr>
              <w:t xml:space="preserve">H = Horizontal </w:t>
            </w:r>
          </w:p>
        </w:tc>
        <w:tc>
          <w:tcPr>
            <w:tcW w:w="5138" w:type="dxa"/>
            <w:gridSpan w:val="4"/>
          </w:tcPr>
          <w:p w:rsidR="00E85A38" w:rsidRPr="0061020E" w:rsidRDefault="00E85A38" w:rsidP="008F6018">
            <w:pPr>
              <w:keepNext/>
              <w:spacing w:after="120" w:line="240" w:lineRule="auto"/>
              <w:jc w:val="both"/>
              <w:rPr>
                <w:rFonts w:ascii="Rockwell" w:hAnsi="Rockwell"/>
                <w:sz w:val="24"/>
                <w:szCs w:val="24"/>
                <w:lang w:val="fr-CA"/>
              </w:rPr>
            </w:pPr>
            <w:r w:rsidRPr="0061020E">
              <w:rPr>
                <w:rFonts w:ascii="Rockwell" w:hAnsi="Rockwell"/>
                <w:sz w:val="24"/>
                <w:szCs w:val="24"/>
                <w:lang w:val="fr-CA"/>
              </w:rPr>
              <w:t xml:space="preserve">V = Vertical </w:t>
            </w:r>
          </w:p>
          <w:p w:rsidR="00E85A38" w:rsidRPr="0061020E" w:rsidRDefault="00E85A38" w:rsidP="008F6018">
            <w:pPr>
              <w:keepNext/>
              <w:spacing w:after="120" w:line="240" w:lineRule="auto"/>
              <w:jc w:val="both"/>
              <w:rPr>
                <w:rFonts w:ascii="Rockwell" w:hAnsi="Rockwell"/>
                <w:sz w:val="24"/>
                <w:szCs w:val="24"/>
                <w:lang w:val="fr-CA"/>
              </w:rPr>
            </w:pPr>
            <w:r w:rsidRPr="0061020E">
              <w:rPr>
                <w:rFonts w:ascii="Rockwell" w:hAnsi="Rockwell"/>
                <w:sz w:val="24"/>
                <w:szCs w:val="24"/>
                <w:lang w:val="fr-CA"/>
              </w:rPr>
              <w:t xml:space="preserve">Y = Combiné </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C = Température positive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F = Température négative</w:t>
            </w:r>
          </w:p>
          <w:p w:rsidR="00E85A38" w:rsidRPr="0061020E" w:rsidRDefault="00E85A38" w:rsidP="008F6018">
            <w:pPr>
              <w:spacing w:after="120" w:line="240" w:lineRule="auto"/>
              <w:jc w:val="both"/>
              <w:rPr>
                <w:rFonts w:ascii="Rockwell" w:hAnsi="Rockwell"/>
                <w:sz w:val="24"/>
                <w:szCs w:val="24"/>
                <w:lang w:val="fr-CA"/>
              </w:rPr>
            </w:pPr>
            <w:r w:rsidRPr="0061020E">
              <w:rPr>
                <w:rFonts w:ascii="Rockwell" w:hAnsi="Rockwell"/>
                <w:sz w:val="24"/>
                <w:szCs w:val="24"/>
                <w:lang w:val="fr-CA"/>
              </w:rPr>
              <w:t>M = Multi-température</w:t>
            </w:r>
          </w:p>
        </w:tc>
      </w:tr>
      <w:tr w:rsidR="00E85A38" w:rsidRPr="006847BA" w:rsidTr="009D6A6D">
        <w:trPr>
          <w:cantSplit/>
          <w:jc w:val="center"/>
        </w:trPr>
        <w:tc>
          <w:tcPr>
            <w:tcW w:w="10276" w:type="dxa"/>
            <w:gridSpan w:val="6"/>
          </w:tcPr>
          <w:p w:rsidR="00E85A38" w:rsidRPr="0061020E" w:rsidRDefault="00E85A38" w:rsidP="008F6018">
            <w:pPr>
              <w:keepNext/>
              <w:tabs>
                <w:tab w:val="left" w:pos="1134"/>
              </w:tabs>
              <w:spacing w:after="120" w:line="240" w:lineRule="auto"/>
              <w:jc w:val="both"/>
              <w:rPr>
                <w:rFonts w:ascii="Rockwell" w:hAnsi="Rockwell"/>
                <w:sz w:val="24"/>
                <w:szCs w:val="24"/>
                <w:lang w:val="fr-CA"/>
              </w:rPr>
            </w:pPr>
            <w:r w:rsidRPr="0061020E">
              <w:rPr>
                <w:rFonts w:ascii="Rockwell" w:hAnsi="Rockwell"/>
                <w:sz w:val="24"/>
                <w:szCs w:val="24"/>
                <w:lang w:val="fr-CA"/>
              </w:rPr>
              <w:t>La classification générale peut être utilisée de la manière suivante: HC1, VF1, YM5. Si besoin est, la classification peut être précisée</w:t>
            </w:r>
            <w:r w:rsidR="004D51DA">
              <w:rPr>
                <w:rFonts w:ascii="Rockwell" w:hAnsi="Rockwell"/>
                <w:sz w:val="24"/>
                <w:szCs w:val="24"/>
                <w:lang w:val="fr-CA"/>
              </w:rPr>
              <w:t>,</w:t>
            </w:r>
            <w:r w:rsidRPr="0061020E">
              <w:rPr>
                <w:rFonts w:ascii="Rockwell" w:hAnsi="Rockwell"/>
                <w:sz w:val="24"/>
                <w:szCs w:val="24"/>
                <w:lang w:val="fr-CA"/>
              </w:rPr>
              <w:t xml:space="preserve"> de la manière suivante : RHC1A, IVF1S.</w:t>
            </w:r>
          </w:p>
        </w:tc>
      </w:tr>
      <w:tr w:rsidR="00E85A38" w:rsidRPr="006847BA" w:rsidTr="009D6A6D">
        <w:trPr>
          <w:cantSplit/>
          <w:jc w:val="center"/>
        </w:trPr>
        <w:tc>
          <w:tcPr>
            <w:tcW w:w="10276" w:type="dxa"/>
            <w:gridSpan w:val="6"/>
          </w:tcPr>
          <w:p w:rsidR="00E85A38" w:rsidRPr="0061020E" w:rsidRDefault="00BC794C" w:rsidP="008F6018">
            <w:pPr>
              <w:pStyle w:val="Note"/>
              <w:spacing w:after="120" w:line="240" w:lineRule="auto"/>
              <w:rPr>
                <w:rFonts w:ascii="Rockwell" w:hAnsi="Rockwell"/>
                <w:sz w:val="24"/>
                <w:szCs w:val="24"/>
              </w:rPr>
            </w:pPr>
            <w:r>
              <w:rPr>
                <w:rFonts w:ascii="Rockwell" w:hAnsi="Rockwell"/>
                <w:sz w:val="24"/>
                <w:szCs w:val="24"/>
              </w:rPr>
              <w:t xml:space="preserve">NOTE : </w:t>
            </w:r>
            <w:r w:rsidR="00E85A38" w:rsidRPr="0061020E">
              <w:rPr>
                <w:rFonts w:ascii="Rockwell" w:hAnsi="Rockwell"/>
                <w:sz w:val="24"/>
                <w:szCs w:val="24"/>
              </w:rPr>
              <w:t>Les meubles à service assisté peuvent être également en libre-service. Les meubles à température positive à étagères multiples sont essentiellement</w:t>
            </w:r>
            <w:r w:rsidR="004D51DA">
              <w:rPr>
                <w:rFonts w:ascii="Rockwell" w:hAnsi="Rockwell"/>
                <w:sz w:val="24"/>
                <w:szCs w:val="24"/>
              </w:rPr>
              <w:t>,</w:t>
            </w:r>
            <w:r w:rsidR="00E85A38" w:rsidRPr="0061020E">
              <w:rPr>
                <w:rFonts w:ascii="Rockwell" w:hAnsi="Rockwell"/>
                <w:sz w:val="24"/>
                <w:szCs w:val="24"/>
              </w:rPr>
              <w:t xml:space="preserve"> en libre-service, mais peuvent être en service assisté.</w:t>
            </w:r>
          </w:p>
        </w:tc>
      </w:tr>
    </w:tbl>
    <w:p w:rsidR="00F17B55" w:rsidRDefault="00F17B55" w:rsidP="00F17B55">
      <w:pPr>
        <w:pStyle w:val="Titre3"/>
        <w:spacing w:before="0" w:after="120" w:line="240" w:lineRule="auto"/>
        <w:jc w:val="both"/>
        <w:rPr>
          <w:rFonts w:ascii="Rockwell" w:hAnsi="Rockwell"/>
          <w:sz w:val="24"/>
          <w:szCs w:val="24"/>
        </w:rPr>
      </w:pPr>
      <w:bookmarkStart w:id="411" w:name="_Toc462905226"/>
      <w:bookmarkStart w:id="412" w:name="_Toc462905441"/>
      <w:bookmarkStart w:id="413" w:name="_Toc462906289"/>
      <w:bookmarkStart w:id="414" w:name="_Toc462906430"/>
      <w:bookmarkStart w:id="415" w:name="_Toc462905227"/>
      <w:bookmarkStart w:id="416" w:name="_Toc462905442"/>
      <w:bookmarkStart w:id="417" w:name="_Toc462906290"/>
      <w:bookmarkStart w:id="418" w:name="_Toc462906431"/>
      <w:bookmarkStart w:id="419" w:name="_Toc462905228"/>
      <w:bookmarkStart w:id="420" w:name="_Toc462905443"/>
      <w:bookmarkStart w:id="421" w:name="_Toc462906291"/>
      <w:bookmarkStart w:id="422" w:name="_Toc462906432"/>
      <w:bookmarkStart w:id="423" w:name="_Toc462905229"/>
      <w:bookmarkStart w:id="424" w:name="_Toc462905444"/>
      <w:bookmarkStart w:id="425" w:name="_Toc462906292"/>
      <w:bookmarkStart w:id="426" w:name="_Toc462906433"/>
      <w:bookmarkStart w:id="427" w:name="_Toc462414251"/>
      <w:bookmarkStart w:id="428" w:name="_Toc462414502"/>
      <w:bookmarkStart w:id="429" w:name="_Toc462414686"/>
      <w:bookmarkStart w:id="430" w:name="_Toc462414863"/>
      <w:bookmarkStart w:id="431" w:name="_Toc462414252"/>
      <w:bookmarkStart w:id="432" w:name="_Toc462414503"/>
      <w:bookmarkStart w:id="433" w:name="_Toc462414687"/>
      <w:bookmarkStart w:id="434" w:name="_Toc462414864"/>
      <w:bookmarkStart w:id="435" w:name="_Toc462414253"/>
      <w:bookmarkStart w:id="436" w:name="_Toc462414504"/>
      <w:bookmarkStart w:id="437" w:name="_Toc462414688"/>
      <w:bookmarkStart w:id="438" w:name="_Toc462414865"/>
      <w:bookmarkStart w:id="439" w:name="_Toc462414254"/>
      <w:bookmarkStart w:id="440" w:name="_Toc462414505"/>
      <w:bookmarkStart w:id="441" w:name="_Toc462414689"/>
      <w:bookmarkStart w:id="442" w:name="_Toc462414866"/>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rsidR="00B10AEB" w:rsidRDefault="00B10AEB" w:rsidP="00B10AEB">
      <w:pPr>
        <w:rPr>
          <w:lang w:val="fr-CA"/>
        </w:rPr>
      </w:pPr>
    </w:p>
    <w:p w:rsidR="00B10AEB" w:rsidRDefault="00B10AEB" w:rsidP="00B10AEB">
      <w:pPr>
        <w:rPr>
          <w:lang w:val="fr-CA"/>
        </w:rPr>
      </w:pPr>
    </w:p>
    <w:p w:rsidR="00B10AEB" w:rsidRDefault="00B10AEB" w:rsidP="00B10AEB">
      <w:pPr>
        <w:rPr>
          <w:lang w:val="fr-CA"/>
        </w:rPr>
      </w:pPr>
    </w:p>
    <w:p w:rsidR="008C7F3C" w:rsidRPr="005D48C9" w:rsidRDefault="00133ACC" w:rsidP="008F6018">
      <w:pPr>
        <w:pStyle w:val="Titre3"/>
        <w:numPr>
          <w:ilvl w:val="0"/>
          <w:numId w:val="100"/>
        </w:numPr>
        <w:spacing w:before="0" w:after="120" w:line="240" w:lineRule="auto"/>
        <w:jc w:val="both"/>
        <w:rPr>
          <w:rFonts w:ascii="Rockwell" w:hAnsi="Rockwell"/>
          <w:color w:val="auto"/>
          <w:sz w:val="24"/>
          <w:szCs w:val="24"/>
        </w:rPr>
      </w:pPr>
      <w:bookmarkStart w:id="443" w:name="_Toc505063329"/>
      <w:r w:rsidRPr="005D48C9">
        <w:rPr>
          <w:rFonts w:ascii="Rockwell" w:hAnsi="Rockwell"/>
          <w:color w:val="auto"/>
          <w:sz w:val="24"/>
          <w:szCs w:val="24"/>
        </w:rPr>
        <w:t>Cas de fournitures de bureau</w:t>
      </w:r>
      <w:bookmarkEnd w:id="443"/>
    </w:p>
    <w:p w:rsidR="008C7F3C" w:rsidRPr="005D48C9" w:rsidRDefault="008C7F3C" w:rsidP="008F6018">
      <w:pPr>
        <w:pStyle w:val="Titre4"/>
        <w:numPr>
          <w:ilvl w:val="0"/>
          <w:numId w:val="103"/>
        </w:numPr>
        <w:spacing w:before="0" w:after="120" w:line="240" w:lineRule="auto"/>
        <w:jc w:val="both"/>
        <w:rPr>
          <w:rFonts w:ascii="Rockwell" w:hAnsi="Rockwell"/>
          <w:color w:val="auto"/>
          <w:sz w:val="24"/>
          <w:szCs w:val="24"/>
        </w:rPr>
      </w:pPr>
      <w:bookmarkStart w:id="444" w:name="_Toc505063330"/>
      <w:r w:rsidRPr="005D48C9">
        <w:rPr>
          <w:rFonts w:ascii="Rockwell" w:hAnsi="Rockwell"/>
          <w:color w:val="auto"/>
          <w:sz w:val="24"/>
          <w:szCs w:val="24"/>
        </w:rPr>
        <w:t>Exigences pour les mines pour crayons à papier (selon ISO 9180)</w:t>
      </w:r>
      <w:bookmarkEnd w:id="444"/>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b/>
          <w:sz w:val="24"/>
          <w:szCs w:val="24"/>
          <w:lang w:val="fr-CA"/>
        </w:rPr>
        <w:t>Mine graphite:</w:t>
      </w:r>
      <w:r w:rsidRPr="0061020E">
        <w:rPr>
          <w:rFonts w:ascii="Rockwell" w:hAnsi="Rockwell"/>
          <w:sz w:val="24"/>
          <w:szCs w:val="24"/>
          <w:lang w:val="fr-CA"/>
        </w:rPr>
        <w:t xml:space="preserve"> Substance à écrire solide constituée d’une poudre de carbone (par exemple graphite) et d’un ((liant)). La mine génère des traits de couleur noire effaçables.</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Crayon à papier</w:t>
      </w:r>
      <w:r w:rsidR="004D51DA">
        <w:rPr>
          <w:rFonts w:ascii="Rockwell" w:hAnsi="Rockwell"/>
          <w:sz w:val="24"/>
          <w:szCs w:val="24"/>
          <w:lang w:val="fr-CA"/>
        </w:rPr>
        <w:t xml:space="preserve"> </w:t>
      </w:r>
      <w:r w:rsidRPr="0061020E">
        <w:rPr>
          <w:rFonts w:ascii="Rockwell" w:hAnsi="Rockwell"/>
          <w:sz w:val="24"/>
          <w:szCs w:val="24"/>
          <w:lang w:val="fr-CA"/>
        </w:rPr>
        <w:t xml:space="preserve">: </w:t>
      </w:r>
      <w:r w:rsidR="004D51DA">
        <w:rPr>
          <w:rFonts w:ascii="Rockwell" w:hAnsi="Rockwell"/>
          <w:sz w:val="24"/>
          <w:szCs w:val="24"/>
          <w:lang w:val="fr-CA"/>
        </w:rPr>
        <w:t>i</w:t>
      </w:r>
      <w:r w:rsidRPr="0061020E">
        <w:rPr>
          <w:rFonts w:ascii="Rockwell" w:hAnsi="Rockwell"/>
          <w:sz w:val="24"/>
          <w:szCs w:val="24"/>
          <w:lang w:val="fr-CA"/>
        </w:rPr>
        <w:t>nstrument de dessin à main ayant une mine insérée de façon permanente dans un fourreau en bois et pouvant résister à la pression exercée</w:t>
      </w:r>
      <w:r w:rsidR="004D51DA">
        <w:rPr>
          <w:rFonts w:ascii="Rockwell" w:hAnsi="Rockwell"/>
          <w:sz w:val="24"/>
          <w:szCs w:val="24"/>
          <w:lang w:val="fr-CA"/>
        </w:rPr>
        <w:t>,</w:t>
      </w:r>
      <w:r w:rsidRPr="0061020E">
        <w:rPr>
          <w:rFonts w:ascii="Rockwell" w:hAnsi="Rockwell"/>
          <w:sz w:val="24"/>
          <w:szCs w:val="24"/>
          <w:lang w:val="fr-CA"/>
        </w:rPr>
        <w:t xml:space="preserve"> lors du dessin.</w:t>
      </w:r>
    </w:p>
    <w:p w:rsidR="00F17B55" w:rsidRPr="0061020E" w:rsidRDefault="00F17B55"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Classification</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mines doivent être classées</w:t>
      </w:r>
      <w:r w:rsidR="004D51DA">
        <w:rPr>
          <w:rFonts w:ascii="Rockwell" w:hAnsi="Rockwell"/>
          <w:sz w:val="24"/>
          <w:szCs w:val="24"/>
          <w:lang w:val="fr-CA"/>
        </w:rPr>
        <w:t>,</w:t>
      </w:r>
      <w:r w:rsidRPr="0061020E">
        <w:rPr>
          <w:rFonts w:ascii="Rockwell" w:hAnsi="Rockwell"/>
          <w:sz w:val="24"/>
          <w:szCs w:val="24"/>
          <w:lang w:val="fr-CA"/>
        </w:rPr>
        <w:t xml:space="preserve"> conformément à leur degré de dureté dans les 17 catégories suivantes:</w:t>
      </w:r>
    </w:p>
    <w:p w:rsidR="008C7F3C"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9H, 8H, 7H, 6H, 5H, 4H, 3H, 2H, H, F, HB, B, 2B, 3B, 48, 5B et 6B</w:t>
      </w:r>
    </w:p>
    <w:p w:rsidR="00F17B55" w:rsidRPr="0061020E" w:rsidRDefault="00F17B55" w:rsidP="008F6018">
      <w:pPr>
        <w:spacing w:after="120" w:line="240" w:lineRule="auto"/>
        <w:jc w:val="both"/>
        <w:rPr>
          <w:rFonts w:ascii="Rockwell" w:hAnsi="Rockwell"/>
          <w:b/>
          <w:sz w:val="24"/>
          <w:szCs w:val="24"/>
          <w:lang w:val="fr-CA"/>
        </w:rPr>
      </w:pP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Diamètres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diamètres des mines doivent être tels que spécifiés dans le</w:t>
      </w:r>
      <w:r w:rsidR="00B626D9" w:rsidRPr="0061020E">
        <w:rPr>
          <w:rFonts w:ascii="Rockwell" w:hAnsi="Rockwell"/>
          <w:sz w:val="24"/>
          <w:szCs w:val="24"/>
          <w:lang w:val="fr-CA"/>
        </w:rPr>
        <w:t xml:space="preserve"> tableau 1.</w:t>
      </w:r>
    </w:p>
    <w:p w:rsidR="008C7F3C" w:rsidRPr="0061020E" w:rsidRDefault="00133ACC" w:rsidP="008F6018">
      <w:pPr>
        <w:spacing w:after="120" w:line="240" w:lineRule="auto"/>
        <w:jc w:val="both"/>
        <w:rPr>
          <w:rFonts w:ascii="Rockwell" w:hAnsi="Rockwell"/>
          <w:sz w:val="24"/>
          <w:szCs w:val="24"/>
          <w:lang w:val="fr-CA"/>
        </w:rPr>
      </w:pPr>
      <w:r w:rsidRPr="0061020E">
        <w:rPr>
          <w:rFonts w:ascii="Rockwell" w:hAnsi="Rockwell"/>
          <w:sz w:val="24"/>
          <w:szCs w:val="24"/>
          <w:lang w:val="fr-CA"/>
        </w:rPr>
        <w:t>Tableau</w:t>
      </w:r>
      <w:r w:rsidR="00B626D9" w:rsidRPr="0061020E">
        <w:rPr>
          <w:rFonts w:ascii="Rockwell" w:hAnsi="Rockwell"/>
          <w:sz w:val="24"/>
          <w:szCs w:val="24"/>
          <w:lang w:val="fr-CA"/>
        </w:rPr>
        <w:t xml:space="preserve"> 1 : diamètres des mines</w:t>
      </w:r>
    </w:p>
    <w:tbl>
      <w:tblPr>
        <w:tblStyle w:val="Grilledutableau"/>
        <w:tblW w:w="0" w:type="auto"/>
        <w:tblLook w:val="04A0" w:firstRow="1" w:lastRow="0" w:firstColumn="1" w:lastColumn="0" w:noHBand="0" w:noVBand="1"/>
      </w:tblPr>
      <w:tblGrid>
        <w:gridCol w:w="4519"/>
        <w:gridCol w:w="4543"/>
      </w:tblGrid>
      <w:tr w:rsidR="008C7F3C" w:rsidRPr="006847BA" w:rsidTr="00133ACC">
        <w:tc>
          <w:tcPr>
            <w:tcW w:w="4519"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Degré de dureté</w:t>
            </w:r>
          </w:p>
        </w:tc>
        <w:tc>
          <w:tcPr>
            <w:tcW w:w="4543"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Diamètre</w:t>
            </w:r>
          </w:p>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mm</w:t>
            </w:r>
          </w:p>
        </w:tc>
      </w:tr>
      <w:tr w:rsidR="008C7F3C" w:rsidRPr="006847BA" w:rsidTr="00133ACC">
        <w:tc>
          <w:tcPr>
            <w:tcW w:w="4519" w:type="dxa"/>
          </w:tcPr>
          <w:p w:rsidR="008C7F3C" w:rsidRPr="0061020E" w:rsidRDefault="008C7F3C" w:rsidP="008F6018">
            <w:pPr>
              <w:spacing w:after="120"/>
              <w:jc w:val="both"/>
              <w:rPr>
                <w:rFonts w:ascii="Rockwell" w:hAnsi="Rockwell"/>
                <w:sz w:val="24"/>
                <w:szCs w:val="24"/>
                <w:lang w:val="en-CA"/>
              </w:rPr>
            </w:pPr>
            <w:r w:rsidRPr="0061020E">
              <w:rPr>
                <w:rFonts w:ascii="Rockwell" w:hAnsi="Rockwell"/>
                <w:sz w:val="24"/>
                <w:szCs w:val="24"/>
                <w:lang w:val="en-CA"/>
              </w:rPr>
              <w:t>9H, 8H, 7H, 6H, 5H, 4H, 3H, 2H, H</w:t>
            </w:r>
          </w:p>
        </w:tc>
        <w:tc>
          <w:tcPr>
            <w:tcW w:w="4543" w:type="dxa"/>
          </w:tcPr>
          <w:p w:rsidR="008C7F3C" w:rsidRPr="0061020E" w:rsidRDefault="008C7F3C" w:rsidP="008F6018">
            <w:pPr>
              <w:spacing w:after="120"/>
              <w:jc w:val="both"/>
              <w:rPr>
                <w:rFonts w:ascii="Rockwell" w:hAnsi="Rockwell"/>
                <w:sz w:val="24"/>
                <w:szCs w:val="24"/>
                <w:lang w:val="en-CA"/>
              </w:rPr>
            </w:pPr>
            <w:r w:rsidRPr="0061020E">
              <w:rPr>
                <w:rFonts w:ascii="Rockwell" w:hAnsi="Rockwell"/>
                <w:sz w:val="24"/>
                <w:szCs w:val="24"/>
                <w:lang w:val="en-CA"/>
              </w:rPr>
              <w:t>&gt; 1,8</w:t>
            </w:r>
          </w:p>
        </w:tc>
      </w:tr>
      <w:tr w:rsidR="008C7F3C" w:rsidRPr="006847BA" w:rsidTr="00133ACC">
        <w:tc>
          <w:tcPr>
            <w:tcW w:w="4519" w:type="dxa"/>
          </w:tcPr>
          <w:p w:rsidR="008C7F3C" w:rsidRPr="0061020E" w:rsidRDefault="008C7F3C" w:rsidP="008F6018">
            <w:pPr>
              <w:spacing w:after="120"/>
              <w:jc w:val="both"/>
              <w:rPr>
                <w:rFonts w:ascii="Rockwell" w:hAnsi="Rockwell"/>
                <w:sz w:val="24"/>
                <w:szCs w:val="24"/>
                <w:lang w:val="en-CA"/>
              </w:rPr>
            </w:pPr>
            <w:r w:rsidRPr="0061020E">
              <w:rPr>
                <w:rFonts w:ascii="Rockwell" w:hAnsi="Rockwell"/>
                <w:sz w:val="24"/>
                <w:szCs w:val="24"/>
                <w:lang w:val="en-CA"/>
              </w:rPr>
              <w:t>F, HB, B, 2B, 3B, 4B, 5B, 6B</w:t>
            </w:r>
          </w:p>
        </w:tc>
        <w:tc>
          <w:tcPr>
            <w:tcW w:w="4543" w:type="dxa"/>
          </w:tcPr>
          <w:p w:rsidR="008C7F3C" w:rsidRPr="0061020E" w:rsidRDefault="008C7F3C" w:rsidP="008F6018">
            <w:pPr>
              <w:spacing w:after="120"/>
              <w:jc w:val="both"/>
              <w:rPr>
                <w:rFonts w:ascii="Rockwell" w:hAnsi="Rockwell"/>
                <w:sz w:val="24"/>
                <w:szCs w:val="24"/>
                <w:lang w:val="en-CA"/>
              </w:rPr>
            </w:pPr>
            <w:r w:rsidRPr="0061020E">
              <w:rPr>
                <w:rFonts w:ascii="Rockwell" w:hAnsi="Rockwell"/>
                <w:sz w:val="24"/>
                <w:szCs w:val="24"/>
                <w:lang w:val="en-CA"/>
              </w:rPr>
              <w:t>&gt;2</w:t>
            </w:r>
          </w:p>
        </w:tc>
      </w:tr>
    </w:tbl>
    <w:p w:rsidR="008C7F3C" w:rsidRDefault="008C7F3C" w:rsidP="008F6018">
      <w:pPr>
        <w:spacing w:after="120" w:line="240" w:lineRule="auto"/>
        <w:jc w:val="both"/>
        <w:rPr>
          <w:rFonts w:ascii="Rockwell" w:hAnsi="Rockwell"/>
          <w:sz w:val="24"/>
          <w:szCs w:val="24"/>
          <w:lang w:val="en-CA"/>
        </w:rPr>
      </w:pPr>
    </w:p>
    <w:p w:rsidR="00B843D8" w:rsidRPr="0061020E" w:rsidRDefault="00B843D8" w:rsidP="008F6018">
      <w:pPr>
        <w:spacing w:after="120" w:line="240" w:lineRule="auto"/>
        <w:jc w:val="both"/>
        <w:rPr>
          <w:rFonts w:ascii="Rockwell" w:hAnsi="Rockwell"/>
          <w:sz w:val="24"/>
          <w:szCs w:val="24"/>
          <w:lang w:val="en-CA"/>
        </w:rPr>
      </w:pPr>
    </w:p>
    <w:p w:rsidR="008C7F3C" w:rsidRPr="005D48C9" w:rsidRDefault="008C7F3C" w:rsidP="008F6018">
      <w:pPr>
        <w:pStyle w:val="Titre4"/>
        <w:numPr>
          <w:ilvl w:val="0"/>
          <w:numId w:val="103"/>
        </w:numPr>
        <w:spacing w:before="0" w:after="120" w:line="240" w:lineRule="auto"/>
        <w:jc w:val="both"/>
        <w:rPr>
          <w:rFonts w:ascii="Rockwell" w:hAnsi="Rockwell"/>
          <w:color w:val="auto"/>
          <w:sz w:val="24"/>
          <w:szCs w:val="24"/>
        </w:rPr>
      </w:pPr>
      <w:bookmarkStart w:id="445" w:name="_Toc505063331"/>
      <w:r w:rsidRPr="005D48C9">
        <w:rPr>
          <w:rFonts w:ascii="Rockwell" w:hAnsi="Rockwell"/>
          <w:color w:val="auto"/>
          <w:sz w:val="24"/>
          <w:szCs w:val="24"/>
        </w:rPr>
        <w:lastRenderedPageBreak/>
        <w:t>Exigences normatives pour les porte-mines selon (ISO 9177-1) Porte-mine - Partie 1 : Classification, dimensions, caractéristiques de fonctionnement et essais</w:t>
      </w:r>
      <w:bookmarkEnd w:id="445"/>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Classification</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porte-mines doivent être classés en fonction de leur type de mécanisme (voir tableau 1) et de leur diamètre nominal (voir tableau 2). Pour la classification et les dimensions des mines (diamètre et longueur).</w:t>
      </w:r>
    </w:p>
    <w:p w:rsidR="00EA4381" w:rsidRDefault="00EA4381"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Tableau 1 - Classification en fonction du type de mécanisme</w:t>
      </w:r>
    </w:p>
    <w:tbl>
      <w:tblPr>
        <w:tblStyle w:val="Grilledutableau"/>
        <w:tblW w:w="0" w:type="auto"/>
        <w:tblLook w:val="04A0" w:firstRow="1" w:lastRow="0" w:firstColumn="1" w:lastColumn="0" w:noHBand="0" w:noVBand="1"/>
      </w:tblPr>
      <w:tblGrid>
        <w:gridCol w:w="2195"/>
        <w:gridCol w:w="2195"/>
        <w:gridCol w:w="2195"/>
        <w:gridCol w:w="2195"/>
      </w:tblGrid>
      <w:tr w:rsidR="008C7F3C" w:rsidRPr="005D48C9" w:rsidTr="005D48C9">
        <w:trPr>
          <w:tblHeader/>
        </w:trPr>
        <w:tc>
          <w:tcPr>
            <w:tcW w:w="2195"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Mécanisme</w:t>
            </w:r>
          </w:p>
        </w:tc>
        <w:tc>
          <w:tcPr>
            <w:tcW w:w="2195"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Type</w:t>
            </w:r>
          </w:p>
        </w:tc>
        <w:tc>
          <w:tcPr>
            <w:tcW w:w="2195"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Description</w:t>
            </w:r>
          </w:p>
        </w:tc>
        <w:tc>
          <w:tcPr>
            <w:tcW w:w="2195"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Figure correspondante</w:t>
            </w:r>
          </w:p>
        </w:tc>
      </w:tr>
      <w:tr w:rsidR="008C7F3C" w:rsidRPr="006847BA" w:rsidTr="005D48C9">
        <w:trPr>
          <w:trHeight w:val="70"/>
        </w:trPr>
        <w:tc>
          <w:tcPr>
            <w:tcW w:w="2195" w:type="dxa"/>
            <w:vMerge w:val="restart"/>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À pression</w:t>
            </w: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F</w:t>
            </w:r>
            <w:r w:rsidRPr="0061020E">
              <w:rPr>
                <w:rFonts w:ascii="Rockwell" w:hAnsi="Rockwell"/>
                <w:sz w:val="24"/>
                <w:szCs w:val="24"/>
                <w:vertAlign w:val="superscript"/>
              </w:rPr>
              <w:t>1</w:t>
            </w:r>
          </w:p>
        </w:tc>
        <w:tc>
          <w:tcPr>
            <w:tcW w:w="2195" w:type="dxa"/>
            <w:vMerge w:val="restart"/>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 xml:space="preserve">Porte-mine dans lequel la mine, logée dans le corps, sort </w:t>
            </w:r>
          </w:p>
          <w:p w:rsidR="008C7F3C" w:rsidRPr="0061020E" w:rsidRDefault="008C7F3C" w:rsidP="005D48C9">
            <w:pPr>
              <w:spacing w:after="120"/>
              <w:jc w:val="both"/>
              <w:rPr>
                <w:rFonts w:ascii="Rockwell" w:hAnsi="Rockwell"/>
                <w:sz w:val="24"/>
                <w:szCs w:val="24"/>
                <w:lang w:val="fr-FR"/>
              </w:rPr>
            </w:pPr>
            <w:r w:rsidRPr="0061020E">
              <w:rPr>
                <w:rFonts w:ascii="Rockwell" w:hAnsi="Rockwell"/>
                <w:sz w:val="24"/>
                <w:szCs w:val="24"/>
              </w:rPr>
              <w:t>sous l’effet d’une pression exercée sur le mécanisme à</w:t>
            </w:r>
            <w:r w:rsidR="005D48C9">
              <w:rPr>
                <w:rFonts w:ascii="Rockwell" w:hAnsi="Rockwell"/>
                <w:sz w:val="24"/>
                <w:szCs w:val="24"/>
              </w:rPr>
              <w:t xml:space="preserve"> </w:t>
            </w:r>
            <w:r w:rsidRPr="0061020E">
              <w:rPr>
                <w:rFonts w:ascii="Rockwell" w:hAnsi="Rockwell"/>
                <w:sz w:val="24"/>
                <w:szCs w:val="24"/>
              </w:rPr>
              <w:t>pression.</w:t>
            </w: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1</w:t>
            </w:r>
          </w:p>
        </w:tc>
      </w:tr>
      <w:tr w:rsidR="008C7F3C" w:rsidRPr="006847BA" w:rsidTr="00CF55C0">
        <w:trPr>
          <w:trHeight w:val="900"/>
        </w:trPr>
        <w:tc>
          <w:tcPr>
            <w:tcW w:w="2195" w:type="dxa"/>
            <w:vMerge/>
          </w:tcPr>
          <w:p w:rsidR="008C7F3C" w:rsidRPr="0061020E" w:rsidRDefault="008C7F3C" w:rsidP="008F6018">
            <w:pPr>
              <w:spacing w:after="120"/>
              <w:jc w:val="both"/>
              <w:rPr>
                <w:rFonts w:ascii="Rockwell" w:hAnsi="Rockwell"/>
                <w:sz w:val="24"/>
                <w:szCs w:val="24"/>
                <w:lang w:val="fr-FR"/>
              </w:rPr>
            </w:pP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w:t>
            </w:r>
            <w:r w:rsidRPr="0061020E">
              <w:rPr>
                <w:rFonts w:ascii="Rockwell" w:hAnsi="Rockwell"/>
                <w:sz w:val="24"/>
                <w:szCs w:val="24"/>
                <w:vertAlign w:val="superscript"/>
              </w:rPr>
              <w:t>2</w:t>
            </w:r>
          </w:p>
        </w:tc>
        <w:tc>
          <w:tcPr>
            <w:tcW w:w="2195" w:type="dxa"/>
            <w:vMerge/>
          </w:tcPr>
          <w:p w:rsidR="008C7F3C" w:rsidRPr="0061020E" w:rsidRDefault="008C7F3C" w:rsidP="008F6018">
            <w:pPr>
              <w:spacing w:after="120"/>
              <w:jc w:val="both"/>
              <w:rPr>
                <w:rFonts w:ascii="Rockwell" w:hAnsi="Rockwell"/>
                <w:sz w:val="24"/>
                <w:szCs w:val="24"/>
                <w:lang w:val="fr-FR"/>
              </w:rPr>
            </w:pP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2</w:t>
            </w:r>
          </w:p>
        </w:tc>
      </w:tr>
      <w:tr w:rsidR="008C7F3C" w:rsidRPr="006847BA" w:rsidTr="005D48C9">
        <w:trPr>
          <w:trHeight w:val="1645"/>
        </w:trPr>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À vis</w:t>
            </w: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S</w:t>
            </w:r>
          </w:p>
        </w:tc>
        <w:tc>
          <w:tcPr>
            <w:tcW w:w="2195" w:type="dxa"/>
          </w:tcPr>
          <w:p w:rsidR="008C7F3C" w:rsidRPr="0061020E" w:rsidRDefault="008C7F3C" w:rsidP="005D48C9">
            <w:pPr>
              <w:spacing w:after="120"/>
              <w:jc w:val="both"/>
              <w:rPr>
                <w:rFonts w:ascii="Rockwell" w:hAnsi="Rockwell"/>
                <w:sz w:val="24"/>
                <w:szCs w:val="24"/>
                <w:lang w:val="fr-FR"/>
              </w:rPr>
            </w:pPr>
            <w:r w:rsidRPr="0061020E">
              <w:rPr>
                <w:rFonts w:ascii="Rockwell" w:hAnsi="Rockwell"/>
                <w:sz w:val="24"/>
                <w:szCs w:val="24"/>
              </w:rPr>
              <w:t>Porte-mine dans lequel la mine, logée dans le corps, sort</w:t>
            </w:r>
            <w:r w:rsidR="005D48C9">
              <w:rPr>
                <w:rFonts w:ascii="Rockwell" w:hAnsi="Rockwell"/>
                <w:sz w:val="24"/>
                <w:szCs w:val="24"/>
                <w:lang w:val="fr-FR"/>
              </w:rPr>
              <w:t xml:space="preserve"> </w:t>
            </w:r>
            <w:r w:rsidRPr="0061020E">
              <w:rPr>
                <w:rFonts w:ascii="Rockwell" w:hAnsi="Rockwell"/>
                <w:sz w:val="24"/>
                <w:szCs w:val="24"/>
              </w:rPr>
              <w:t>sous l’effet du mou</w:t>
            </w:r>
            <w:r w:rsidR="005D48C9">
              <w:rPr>
                <w:rFonts w:ascii="Rockwell" w:hAnsi="Rockwell"/>
                <w:sz w:val="24"/>
                <w:szCs w:val="24"/>
              </w:rPr>
              <w:t xml:space="preserve">vement de propulsion imprimé au </w:t>
            </w:r>
            <w:r w:rsidRPr="0061020E">
              <w:rPr>
                <w:rFonts w:ascii="Rockwell" w:hAnsi="Rockwell"/>
                <w:sz w:val="24"/>
                <w:szCs w:val="24"/>
              </w:rPr>
              <w:t>mécanisme à vis.</w:t>
            </w:r>
          </w:p>
        </w:tc>
        <w:tc>
          <w:tcPr>
            <w:tcW w:w="219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3</w:t>
            </w:r>
          </w:p>
        </w:tc>
      </w:tr>
    </w:tbl>
    <w:p w:rsidR="008C7F3C" w:rsidRPr="0061020E" w:rsidRDefault="008C7F3C"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i/>
          <w:sz w:val="24"/>
          <w:szCs w:val="24"/>
          <w:lang w:val="fr-CA"/>
        </w:rPr>
      </w:pPr>
      <w:r w:rsidRPr="0061020E">
        <w:rPr>
          <w:rFonts w:ascii="Rockwell" w:hAnsi="Rockwell"/>
          <w:sz w:val="24"/>
          <w:szCs w:val="24"/>
          <w:lang w:val="fr-CA"/>
        </w:rPr>
        <w:t xml:space="preserve">1) </w:t>
      </w:r>
      <w:r w:rsidRPr="0061020E">
        <w:rPr>
          <w:rFonts w:ascii="Rockwell" w:hAnsi="Rockwell"/>
          <w:i/>
          <w:sz w:val="24"/>
          <w:szCs w:val="24"/>
          <w:lang w:val="fr-CA"/>
        </w:rPr>
        <w:t>Principalement mines polymère de diamètre nominal 0,35 à 1 mm.</w:t>
      </w:r>
    </w:p>
    <w:p w:rsidR="008C7F3C" w:rsidRDefault="008C7F3C" w:rsidP="008F6018">
      <w:pPr>
        <w:spacing w:after="120" w:line="240" w:lineRule="auto"/>
        <w:jc w:val="both"/>
        <w:rPr>
          <w:rFonts w:ascii="Rockwell" w:hAnsi="Rockwell"/>
          <w:i/>
          <w:sz w:val="24"/>
          <w:szCs w:val="24"/>
          <w:lang w:val="fr-CA"/>
        </w:rPr>
      </w:pPr>
      <w:r w:rsidRPr="0061020E">
        <w:rPr>
          <w:rFonts w:ascii="Rockwell" w:hAnsi="Rockwell"/>
          <w:i/>
          <w:sz w:val="24"/>
          <w:szCs w:val="24"/>
          <w:lang w:val="fr-CA"/>
        </w:rPr>
        <w:t>2) Principalement mines céramique de diamètre nominal 2 mm.</w:t>
      </w:r>
    </w:p>
    <w:p w:rsidR="00F17B55" w:rsidRPr="0061020E" w:rsidRDefault="00F17B55" w:rsidP="008F6018">
      <w:pPr>
        <w:spacing w:after="120" w:line="240" w:lineRule="auto"/>
        <w:jc w:val="both"/>
        <w:rPr>
          <w:rFonts w:ascii="Rockwell" w:hAnsi="Rockwell"/>
          <w:i/>
          <w:sz w:val="24"/>
          <w:szCs w:val="24"/>
          <w:lang w:val="fr-CA"/>
        </w:rPr>
      </w:pPr>
    </w:p>
    <w:p w:rsidR="008C7F3C" w:rsidRPr="0061020E" w:rsidRDefault="008C7F3C"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Dimensions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5.1 Diamètre nominal</w:t>
      </w:r>
    </w:p>
    <w:p w:rsidR="008C7F3C"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Le diamètre nominal du porte-mine, correspondant au diamètre nominal de la mine, doit être tel que spécifié dans le tableau 2.</w:t>
      </w:r>
    </w:p>
    <w:p w:rsidR="00B626D9" w:rsidRDefault="00B626D9" w:rsidP="008F6018">
      <w:pPr>
        <w:spacing w:after="120" w:line="240" w:lineRule="auto"/>
        <w:jc w:val="both"/>
        <w:rPr>
          <w:rFonts w:ascii="Rockwell" w:hAnsi="Rockwell"/>
          <w:sz w:val="24"/>
          <w:szCs w:val="24"/>
          <w:lang w:val="fr-CA"/>
        </w:rPr>
      </w:pPr>
      <w:r w:rsidRPr="0061020E">
        <w:rPr>
          <w:rFonts w:ascii="Rockwell" w:hAnsi="Rockwell"/>
          <w:sz w:val="24"/>
          <w:szCs w:val="24"/>
          <w:lang w:val="fr-CA"/>
        </w:rPr>
        <w:t>Tableau 2 : diamètre nominal du porte-mine</w:t>
      </w:r>
    </w:p>
    <w:tbl>
      <w:tblPr>
        <w:tblStyle w:val="Grilledutableau"/>
        <w:tblW w:w="0" w:type="auto"/>
        <w:tblLook w:val="04A0" w:firstRow="1" w:lastRow="0" w:firstColumn="1" w:lastColumn="0" w:noHBand="0" w:noVBand="1"/>
      </w:tblPr>
      <w:tblGrid>
        <w:gridCol w:w="2926"/>
        <w:gridCol w:w="2927"/>
        <w:gridCol w:w="3611"/>
      </w:tblGrid>
      <w:tr w:rsidR="008C7F3C" w:rsidRPr="005D48C9" w:rsidTr="005D48C9">
        <w:tc>
          <w:tcPr>
            <w:tcW w:w="2926"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Largeur de trait</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conformément à</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I’ISO 128</w:t>
            </w:r>
          </w:p>
        </w:tc>
        <w:tc>
          <w:tcPr>
            <w:tcW w:w="2927"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Diamètre</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nominal</w:t>
            </w:r>
          </w:p>
        </w:tc>
        <w:tc>
          <w:tcPr>
            <w:tcW w:w="3611" w:type="dxa"/>
          </w:tcPr>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Diamètre réel et</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tolérance de la mine</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de porte-mine</w:t>
            </w:r>
          </w:p>
          <w:p w:rsidR="008C7F3C" w:rsidRPr="005D48C9" w:rsidRDefault="008C7F3C" w:rsidP="005D48C9">
            <w:pPr>
              <w:spacing w:after="120"/>
              <w:jc w:val="center"/>
              <w:rPr>
                <w:rFonts w:ascii="Rockwell" w:hAnsi="Rockwell"/>
                <w:b/>
                <w:sz w:val="24"/>
                <w:szCs w:val="24"/>
                <w:lang w:val="fr-FR"/>
              </w:rPr>
            </w:pPr>
            <w:r w:rsidRPr="005D48C9">
              <w:rPr>
                <w:rFonts w:ascii="Rockwell" w:hAnsi="Rockwell"/>
                <w:b/>
                <w:sz w:val="24"/>
                <w:szCs w:val="24"/>
              </w:rPr>
              <w:t>(voir ISO 9177-Z)</w:t>
            </w:r>
          </w:p>
        </w:tc>
      </w:tr>
      <w:tr w:rsidR="008C7F3C" w:rsidRPr="006847BA" w:rsidTr="005D48C9">
        <w:tc>
          <w:tcPr>
            <w:tcW w:w="2926" w:type="dxa"/>
          </w:tcPr>
          <w:p w:rsidR="008C7F3C" w:rsidRPr="0061020E" w:rsidRDefault="005D48C9" w:rsidP="008F6018">
            <w:pPr>
              <w:spacing w:after="120"/>
              <w:jc w:val="both"/>
              <w:rPr>
                <w:rFonts w:ascii="Rockwell" w:hAnsi="Rockwell"/>
                <w:sz w:val="24"/>
                <w:szCs w:val="24"/>
                <w:lang w:val="fr-FR"/>
              </w:rPr>
            </w:pPr>
            <w:r>
              <w:rPr>
                <w:rFonts w:ascii="Rockwell" w:hAnsi="Rockwell"/>
                <w:sz w:val="24"/>
                <w:szCs w:val="24"/>
              </w:rPr>
              <w:t>0,25 ’</w:t>
            </w:r>
            <w:r w:rsidR="008C7F3C" w:rsidRPr="0061020E">
              <w:rPr>
                <w:rFonts w:ascii="Rockwell" w:hAnsi="Rockwell"/>
                <w:sz w:val="24"/>
                <w:szCs w:val="24"/>
              </w:rPr>
              <w:t>)</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w:t>
            </w:r>
          </w:p>
        </w:tc>
        <w:tc>
          <w:tcPr>
            <w:tcW w:w="3611" w:type="dxa"/>
          </w:tcPr>
          <w:p w:rsidR="008C7F3C" w:rsidRPr="0061020E" w:rsidRDefault="008C7F3C" w:rsidP="008F6018">
            <w:pPr>
              <w:spacing w:after="120"/>
              <w:ind w:firstLine="708"/>
              <w:jc w:val="both"/>
              <w:rPr>
                <w:rFonts w:ascii="Rockwell" w:hAnsi="Rockwell"/>
                <w:sz w:val="24"/>
                <w:szCs w:val="24"/>
                <w:lang w:val="fr-FR"/>
              </w:rPr>
            </w:pPr>
            <w:r w:rsidRPr="0061020E">
              <w:rPr>
                <w:rFonts w:ascii="Rockwell" w:hAnsi="Rockwell"/>
                <w:sz w:val="24"/>
                <w:szCs w:val="24"/>
              </w:rPr>
              <w:t>-</w:t>
            </w:r>
          </w:p>
        </w:tc>
      </w:tr>
      <w:tr w:rsidR="008C7F3C" w:rsidRPr="006847BA" w:rsidTr="005D48C9">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0,35</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035 2)</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 xml:space="preserve">0.35 +0.04 </w:t>
            </w:r>
          </w:p>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lastRenderedPageBreak/>
              <w:t xml:space="preserve">        +0,02</w:t>
            </w:r>
          </w:p>
        </w:tc>
      </w:tr>
      <w:tr w:rsidR="008C5C24" w:rsidRPr="006847BA" w:rsidTr="005D48C9">
        <w:tc>
          <w:tcPr>
            <w:tcW w:w="2926"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lastRenderedPageBreak/>
              <w:t>Largeur de trait</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conformément à</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I’ISO 128</w:t>
            </w:r>
          </w:p>
        </w:tc>
        <w:tc>
          <w:tcPr>
            <w:tcW w:w="292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Diamètre</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nominal</w:t>
            </w:r>
          </w:p>
        </w:tc>
        <w:tc>
          <w:tcPr>
            <w:tcW w:w="3611"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Diamètre réel et</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tolérance de la mine</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de porte-mine</w:t>
            </w:r>
          </w:p>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(voir ISO 9177-Z)</w:t>
            </w:r>
          </w:p>
        </w:tc>
      </w:tr>
      <w:tr w:rsidR="008C7F3C" w:rsidRPr="006847BA" w:rsidTr="005D48C9">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Of5</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0,5</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0.5   +0.08</w:t>
            </w:r>
          </w:p>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 xml:space="preserve">      +0,05</w:t>
            </w:r>
          </w:p>
        </w:tc>
      </w:tr>
      <w:tr w:rsidR="008C7F3C" w:rsidRPr="006847BA" w:rsidTr="005D48C9">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0,7</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0,7</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 I 7 +0,03 - 0,Ol</w:t>
            </w:r>
          </w:p>
        </w:tc>
      </w:tr>
      <w:tr w:rsidR="008C7F3C" w:rsidRPr="006847BA" w:rsidTr="005D48C9">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1</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12)</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1 -0,08</w:t>
            </w:r>
          </w:p>
        </w:tc>
      </w:tr>
      <w:tr w:rsidR="008C7F3C" w:rsidRPr="006847BA" w:rsidTr="005D48C9">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1,411</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-0,12</w:t>
            </w:r>
          </w:p>
        </w:tc>
      </w:tr>
      <w:tr w:rsidR="008C7F3C" w:rsidRPr="006847BA" w:rsidTr="005D48C9">
        <w:trPr>
          <w:trHeight w:val="70"/>
        </w:trPr>
        <w:tc>
          <w:tcPr>
            <w:tcW w:w="2926"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2</w:t>
            </w:r>
          </w:p>
        </w:tc>
        <w:tc>
          <w:tcPr>
            <w:tcW w:w="292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2</w:t>
            </w:r>
          </w:p>
        </w:tc>
        <w:tc>
          <w:tcPr>
            <w:tcW w:w="361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w:t>
            </w:r>
          </w:p>
        </w:tc>
      </w:tr>
    </w:tbl>
    <w:p w:rsidR="008C7F3C" w:rsidRPr="0061020E" w:rsidRDefault="008C7F3C" w:rsidP="008F6018">
      <w:pPr>
        <w:spacing w:after="120" w:line="240" w:lineRule="auto"/>
        <w:jc w:val="both"/>
        <w:rPr>
          <w:rFonts w:ascii="Rockwell" w:hAnsi="Rockwell"/>
          <w:sz w:val="24"/>
          <w:szCs w:val="24"/>
          <w:lang w:val="fr-CA"/>
        </w:rPr>
      </w:pPr>
    </w:p>
    <w:p w:rsidR="00723457" w:rsidRPr="0091225C" w:rsidRDefault="008C7F3C" w:rsidP="008F6018">
      <w:pPr>
        <w:pStyle w:val="Titre4"/>
        <w:numPr>
          <w:ilvl w:val="0"/>
          <w:numId w:val="103"/>
        </w:numPr>
        <w:spacing w:before="0" w:after="120" w:line="240" w:lineRule="auto"/>
        <w:jc w:val="both"/>
        <w:rPr>
          <w:rFonts w:ascii="Rockwell" w:hAnsi="Rockwell"/>
          <w:color w:val="auto"/>
          <w:sz w:val="24"/>
          <w:szCs w:val="24"/>
        </w:rPr>
      </w:pPr>
      <w:bookmarkStart w:id="446" w:name="_Toc505063332"/>
      <w:r w:rsidRPr="0091225C">
        <w:rPr>
          <w:rFonts w:ascii="Rockwell" w:hAnsi="Rockwell"/>
          <w:color w:val="auto"/>
          <w:sz w:val="24"/>
          <w:szCs w:val="24"/>
        </w:rPr>
        <w:t xml:space="preserve">Exigences pour les </w:t>
      </w:r>
      <w:r w:rsidR="004D51DA">
        <w:rPr>
          <w:rFonts w:ascii="Rockwell" w:hAnsi="Rockwell"/>
          <w:color w:val="auto"/>
          <w:sz w:val="24"/>
          <w:szCs w:val="24"/>
        </w:rPr>
        <w:t>s</w:t>
      </w:r>
      <w:r w:rsidR="00422A82" w:rsidRPr="0091225C">
        <w:rPr>
          <w:rFonts w:ascii="Rockwell" w:hAnsi="Rockwell"/>
          <w:color w:val="auto"/>
          <w:sz w:val="24"/>
          <w:szCs w:val="24"/>
        </w:rPr>
        <w:t>tylos rollers et recharges  (ISO 14145-1)</w:t>
      </w:r>
      <w:r w:rsidR="00D4425E" w:rsidRPr="0091225C">
        <w:rPr>
          <w:rFonts w:ascii="Rockwell" w:hAnsi="Rockwell"/>
          <w:color w:val="auto"/>
          <w:sz w:val="24"/>
          <w:szCs w:val="24"/>
        </w:rPr>
        <w:t xml:space="preserve"> </w:t>
      </w:r>
      <w:r w:rsidR="00723457" w:rsidRPr="0061020E">
        <w:rPr>
          <w:rFonts w:ascii="Rockwell" w:hAnsi="Rockwell"/>
          <w:color w:val="auto"/>
          <w:sz w:val="24"/>
          <w:szCs w:val="24"/>
        </w:rPr>
        <w:t>Prescriptions</w:t>
      </w:r>
      <w:bookmarkEnd w:id="446"/>
    </w:p>
    <w:p w:rsidR="00962722" w:rsidRPr="0061020E" w:rsidRDefault="00962722" w:rsidP="008F6018">
      <w:pPr>
        <w:spacing w:after="120" w:line="240" w:lineRule="auto"/>
        <w:ind w:left="708"/>
        <w:jc w:val="both"/>
        <w:rPr>
          <w:rFonts w:ascii="Rockwell" w:hAnsi="Rockwell"/>
          <w:b/>
          <w:sz w:val="24"/>
          <w:szCs w:val="24"/>
          <w:lang w:val="fr-CA"/>
        </w:rPr>
      </w:pPr>
      <w:r w:rsidRPr="0061020E">
        <w:rPr>
          <w:rFonts w:ascii="Rockwell" w:hAnsi="Rockwell"/>
          <w:b/>
          <w:sz w:val="24"/>
          <w:szCs w:val="24"/>
          <w:lang w:val="fr-CA"/>
        </w:rPr>
        <w:t>Classification des pointes</w:t>
      </w:r>
    </w:p>
    <w:p w:rsidR="008C7F3C" w:rsidRPr="0061020E" w:rsidRDefault="00962722"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pointes doivent être classées selon le diamètre de la bille (voir tableau 1).</w:t>
      </w:r>
    </w:p>
    <w:p w:rsidR="00723457" w:rsidRPr="0061020E" w:rsidRDefault="00723457" w:rsidP="008F6018">
      <w:pPr>
        <w:spacing w:after="120" w:line="240" w:lineRule="auto"/>
        <w:jc w:val="both"/>
        <w:rPr>
          <w:rFonts w:ascii="Rockwell" w:hAnsi="Rockwell"/>
          <w:sz w:val="24"/>
          <w:szCs w:val="24"/>
          <w:lang w:val="fr-CA"/>
        </w:rPr>
      </w:pPr>
      <w:r w:rsidRPr="0061020E">
        <w:rPr>
          <w:rFonts w:ascii="Rockwell" w:hAnsi="Rockwell"/>
          <w:sz w:val="24"/>
          <w:szCs w:val="24"/>
          <w:lang w:val="fr-CA"/>
        </w:rPr>
        <w:t>Tableau 1</w:t>
      </w:r>
      <w:r w:rsidR="00B626D9" w:rsidRPr="0061020E">
        <w:rPr>
          <w:rFonts w:ascii="Rockwell" w:hAnsi="Rockwell"/>
          <w:sz w:val="24"/>
          <w:szCs w:val="24"/>
          <w:lang w:val="fr-CA"/>
        </w:rPr>
        <w:t> : diamètre de la bille pour stylos et rollers</w:t>
      </w:r>
    </w:p>
    <w:tbl>
      <w:tblPr>
        <w:tblStyle w:val="Grilledutableau"/>
        <w:tblW w:w="0" w:type="auto"/>
        <w:tblLook w:val="04A0" w:firstRow="1" w:lastRow="0" w:firstColumn="1" w:lastColumn="0" w:noHBand="0" w:noVBand="1"/>
      </w:tblPr>
      <w:tblGrid>
        <w:gridCol w:w="2303"/>
        <w:gridCol w:w="2303"/>
        <w:gridCol w:w="2303"/>
      </w:tblGrid>
      <w:tr w:rsidR="00962722" w:rsidRPr="005D48C9" w:rsidTr="00962722">
        <w:tc>
          <w:tcPr>
            <w:tcW w:w="2303" w:type="dxa"/>
          </w:tcPr>
          <w:p w:rsidR="00962722" w:rsidRPr="005D48C9" w:rsidRDefault="00962722" w:rsidP="005D48C9">
            <w:pPr>
              <w:spacing w:after="120"/>
              <w:jc w:val="center"/>
              <w:rPr>
                <w:rFonts w:ascii="Rockwell" w:hAnsi="Rockwell"/>
                <w:b/>
                <w:sz w:val="24"/>
                <w:szCs w:val="24"/>
                <w:lang w:val="fr-FR"/>
              </w:rPr>
            </w:pPr>
            <w:r w:rsidRPr="005D48C9">
              <w:rPr>
                <w:rFonts w:ascii="Rockwell" w:hAnsi="Rockwell"/>
                <w:b/>
                <w:sz w:val="24"/>
                <w:szCs w:val="24"/>
              </w:rPr>
              <w:t>Classification de la pointe</w:t>
            </w:r>
          </w:p>
        </w:tc>
        <w:tc>
          <w:tcPr>
            <w:tcW w:w="2303" w:type="dxa"/>
          </w:tcPr>
          <w:p w:rsidR="00962722" w:rsidRPr="005D48C9" w:rsidRDefault="00962722" w:rsidP="005D48C9">
            <w:pPr>
              <w:spacing w:after="120"/>
              <w:jc w:val="center"/>
              <w:rPr>
                <w:rFonts w:ascii="Rockwell" w:hAnsi="Rockwell"/>
                <w:b/>
                <w:sz w:val="24"/>
                <w:szCs w:val="24"/>
                <w:lang w:val="fr-FR"/>
              </w:rPr>
            </w:pPr>
            <w:r w:rsidRPr="005D48C9">
              <w:rPr>
                <w:rFonts w:ascii="Rockwell" w:hAnsi="Rockwell"/>
                <w:b/>
                <w:sz w:val="24"/>
                <w:szCs w:val="24"/>
              </w:rPr>
              <w:t>Code de la pointe</w:t>
            </w:r>
          </w:p>
        </w:tc>
        <w:tc>
          <w:tcPr>
            <w:tcW w:w="2303" w:type="dxa"/>
          </w:tcPr>
          <w:p w:rsidR="00962722" w:rsidRPr="005D48C9" w:rsidRDefault="00962722" w:rsidP="005D48C9">
            <w:pPr>
              <w:spacing w:after="120"/>
              <w:jc w:val="center"/>
              <w:rPr>
                <w:rFonts w:ascii="Rockwell" w:hAnsi="Rockwell"/>
                <w:b/>
                <w:sz w:val="24"/>
                <w:szCs w:val="24"/>
                <w:lang w:val="fr-FR"/>
              </w:rPr>
            </w:pPr>
            <w:r w:rsidRPr="005D48C9">
              <w:rPr>
                <w:rFonts w:ascii="Rockwell" w:hAnsi="Rockwell"/>
                <w:b/>
                <w:sz w:val="24"/>
                <w:szCs w:val="24"/>
              </w:rPr>
              <w:t>Diamètre de la bille</w:t>
            </w:r>
          </w:p>
        </w:tc>
      </w:tr>
      <w:tr w:rsidR="00962722" w:rsidRPr="006847BA" w:rsidTr="00962722">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Extrafine</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EF</w:t>
            </w:r>
          </w:p>
        </w:tc>
        <w:tc>
          <w:tcPr>
            <w:tcW w:w="2303" w:type="dxa"/>
          </w:tcPr>
          <w:p w:rsidR="00962722" w:rsidRPr="0061020E" w:rsidRDefault="009D3E8C" w:rsidP="008F6018">
            <w:pPr>
              <w:spacing w:after="120"/>
              <w:jc w:val="both"/>
              <w:rPr>
                <w:rFonts w:ascii="Rockwell" w:hAnsi="Rockwell"/>
                <w:sz w:val="24"/>
                <w:szCs w:val="24"/>
                <w:lang w:val="fr-FR"/>
              </w:rPr>
            </w:pPr>
            <w:r w:rsidRPr="0061020E">
              <w:rPr>
                <w:rFonts w:ascii="Rockwell" w:hAnsi="Rockwell" w:cs="MT-Symbol"/>
                <w:sz w:val="24"/>
                <w:szCs w:val="24"/>
              </w:rPr>
              <w:t>Ø</w:t>
            </w:r>
            <w:r w:rsidR="00962722" w:rsidRPr="0061020E">
              <w:rPr>
                <w:rFonts w:ascii="Rockwell" w:hAnsi="Rockwell" w:cs="MT-Symbol"/>
                <w:sz w:val="24"/>
                <w:szCs w:val="24"/>
              </w:rPr>
              <w:t xml:space="preserve">&lt; </w:t>
            </w:r>
            <w:r w:rsidR="00962722" w:rsidRPr="0061020E">
              <w:rPr>
                <w:rFonts w:ascii="Rockwell" w:hAnsi="Rockwell" w:cs="Arial"/>
                <w:sz w:val="24"/>
                <w:szCs w:val="24"/>
              </w:rPr>
              <w:t>0,55</w:t>
            </w:r>
          </w:p>
        </w:tc>
      </w:tr>
      <w:tr w:rsidR="00962722" w:rsidRPr="006847BA" w:rsidTr="00962722">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Fine </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F</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0,55 &lt; </w:t>
            </w:r>
            <w:r w:rsidR="009D3E8C" w:rsidRPr="0061020E">
              <w:rPr>
                <w:rFonts w:ascii="Rockwell" w:hAnsi="Rockwell" w:cs="MT-Symbol"/>
                <w:sz w:val="24"/>
                <w:szCs w:val="24"/>
              </w:rPr>
              <w:t>Ø</w:t>
            </w:r>
            <w:r w:rsidR="009D3E8C" w:rsidRPr="0061020E">
              <w:rPr>
                <w:rFonts w:ascii="Rockwell" w:hAnsi="Rockwell"/>
                <w:sz w:val="24"/>
                <w:szCs w:val="24"/>
              </w:rPr>
              <w:t xml:space="preserve"> </w:t>
            </w:r>
            <w:r w:rsidRPr="0061020E">
              <w:rPr>
                <w:rFonts w:ascii="Rockwell" w:hAnsi="Rockwell"/>
                <w:sz w:val="24"/>
                <w:szCs w:val="24"/>
              </w:rPr>
              <w:t>&lt; 0,75</w:t>
            </w:r>
          </w:p>
        </w:tc>
      </w:tr>
      <w:tr w:rsidR="00962722" w:rsidRPr="006847BA" w:rsidTr="00962722">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Moyenne </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M</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0,75 &lt; </w:t>
            </w:r>
            <w:r w:rsidR="009D3E8C" w:rsidRPr="0061020E">
              <w:rPr>
                <w:rFonts w:ascii="Rockwell" w:hAnsi="Rockwell" w:cs="MT-Symbol"/>
                <w:sz w:val="24"/>
                <w:szCs w:val="24"/>
              </w:rPr>
              <w:t>Ø</w:t>
            </w:r>
            <w:r w:rsidR="009D3E8C" w:rsidRPr="0061020E">
              <w:rPr>
                <w:rFonts w:ascii="Rockwell" w:hAnsi="Rockwell"/>
                <w:sz w:val="24"/>
                <w:szCs w:val="24"/>
              </w:rPr>
              <w:t xml:space="preserve"> </w:t>
            </w:r>
            <w:r w:rsidRPr="0061020E">
              <w:rPr>
                <w:rFonts w:ascii="Rockwell" w:hAnsi="Rockwell"/>
                <w:sz w:val="24"/>
                <w:szCs w:val="24"/>
              </w:rPr>
              <w:t>&lt; 1,20</w:t>
            </w:r>
          </w:p>
        </w:tc>
      </w:tr>
      <w:tr w:rsidR="00962722" w:rsidRPr="006847BA" w:rsidTr="00962722">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Large </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B</w:t>
            </w:r>
          </w:p>
        </w:tc>
        <w:tc>
          <w:tcPr>
            <w:tcW w:w="2303" w:type="dxa"/>
          </w:tcPr>
          <w:p w:rsidR="00962722" w:rsidRPr="0061020E" w:rsidRDefault="00962722" w:rsidP="008F6018">
            <w:pPr>
              <w:spacing w:after="120"/>
              <w:jc w:val="both"/>
              <w:rPr>
                <w:rFonts w:ascii="Rockwell" w:hAnsi="Rockwell"/>
                <w:sz w:val="24"/>
                <w:szCs w:val="24"/>
                <w:lang w:val="fr-FR"/>
              </w:rPr>
            </w:pPr>
            <w:r w:rsidRPr="0061020E">
              <w:rPr>
                <w:rFonts w:ascii="Rockwell" w:hAnsi="Rockwell"/>
                <w:sz w:val="24"/>
                <w:szCs w:val="24"/>
              </w:rPr>
              <w:t xml:space="preserve">1,20 &lt; </w:t>
            </w:r>
            <w:r w:rsidR="009D3E8C" w:rsidRPr="0061020E">
              <w:rPr>
                <w:rFonts w:ascii="Rockwell" w:hAnsi="Rockwell" w:cs="MT-Symbol"/>
                <w:sz w:val="24"/>
                <w:szCs w:val="24"/>
              </w:rPr>
              <w:t>Ø</w:t>
            </w:r>
          </w:p>
        </w:tc>
      </w:tr>
    </w:tbl>
    <w:p w:rsidR="008C7F3C" w:rsidRPr="0061020E" w:rsidRDefault="008C7F3C" w:rsidP="008F6018">
      <w:pPr>
        <w:spacing w:after="120" w:line="240" w:lineRule="auto"/>
        <w:jc w:val="both"/>
        <w:rPr>
          <w:rFonts w:ascii="Rockwell" w:hAnsi="Rockwell"/>
          <w:sz w:val="24"/>
          <w:szCs w:val="24"/>
          <w:lang w:val="fr-CA"/>
        </w:rPr>
      </w:pPr>
    </w:p>
    <w:p w:rsidR="00723457" w:rsidRPr="0061020E" w:rsidRDefault="00723457" w:rsidP="008F6018">
      <w:pPr>
        <w:spacing w:after="120" w:line="240" w:lineRule="auto"/>
        <w:jc w:val="both"/>
        <w:rPr>
          <w:rFonts w:ascii="Rockwell" w:hAnsi="Rockwell"/>
          <w:b/>
          <w:sz w:val="24"/>
          <w:szCs w:val="24"/>
          <w:lang w:val="fr-CA"/>
        </w:rPr>
      </w:pPr>
      <w:r w:rsidRPr="0061020E">
        <w:rPr>
          <w:rFonts w:ascii="Rockwell" w:hAnsi="Rockwell"/>
          <w:b/>
          <w:sz w:val="24"/>
          <w:szCs w:val="24"/>
          <w:lang w:val="fr-CA"/>
        </w:rPr>
        <w:t>Formes et dimensions des recharges</w:t>
      </w:r>
    </w:p>
    <w:p w:rsidR="008C7F3C" w:rsidRDefault="00723457" w:rsidP="008F6018">
      <w:pPr>
        <w:spacing w:after="120" w:line="240" w:lineRule="auto"/>
        <w:jc w:val="both"/>
        <w:rPr>
          <w:rFonts w:ascii="Rockwell" w:hAnsi="Rockwell"/>
          <w:sz w:val="24"/>
          <w:szCs w:val="24"/>
          <w:lang w:val="fr-CA"/>
        </w:rPr>
      </w:pPr>
      <w:r w:rsidRPr="0061020E">
        <w:rPr>
          <w:rFonts w:ascii="Rockwell" w:hAnsi="Rockwell"/>
          <w:sz w:val="24"/>
          <w:szCs w:val="24"/>
          <w:lang w:val="fr-CA"/>
        </w:rPr>
        <w:t>Les recharges doivent être classées selon les catégories A, B, C et D. Les formes et dimensions des catégories A à C sont données à la figure 1 et dans le tableau 2. Les recharges dont les formes et dimensions sont autres que celles spécifiées à la figure 1 et dans le tableau 2 sont désignées par la catégorie D.</w:t>
      </w:r>
    </w:p>
    <w:p w:rsidR="00F17B55" w:rsidRDefault="00F17B55" w:rsidP="008F6018">
      <w:pPr>
        <w:spacing w:after="120" w:line="240" w:lineRule="auto"/>
        <w:jc w:val="both"/>
        <w:rPr>
          <w:rFonts w:ascii="Rockwell" w:hAnsi="Rockwell"/>
          <w:sz w:val="24"/>
          <w:szCs w:val="24"/>
          <w:lang w:val="fr-CA"/>
        </w:rPr>
      </w:pPr>
    </w:p>
    <w:p w:rsidR="008C7F3C" w:rsidRDefault="00723457" w:rsidP="008F6018">
      <w:pPr>
        <w:spacing w:after="120" w:line="240" w:lineRule="auto"/>
        <w:jc w:val="both"/>
        <w:rPr>
          <w:rFonts w:ascii="Rockwell" w:hAnsi="Rockwell"/>
          <w:sz w:val="24"/>
          <w:szCs w:val="24"/>
          <w:lang w:val="fr-CA"/>
        </w:rPr>
      </w:pPr>
      <w:r w:rsidRPr="0061020E">
        <w:rPr>
          <w:rFonts w:ascii="Rockwell" w:hAnsi="Rockwell"/>
          <w:sz w:val="24"/>
          <w:szCs w:val="24"/>
          <w:lang w:val="fr-CA"/>
        </w:rPr>
        <w:t>Tableau 2</w:t>
      </w:r>
      <w:r w:rsidR="00A530AB" w:rsidRPr="0061020E">
        <w:rPr>
          <w:rFonts w:ascii="Rockwell" w:hAnsi="Rockwell"/>
          <w:sz w:val="24"/>
          <w:szCs w:val="24"/>
          <w:lang w:val="fr-CA"/>
        </w:rPr>
        <w:t> : formes et dimensions des recharges</w:t>
      </w:r>
    </w:p>
    <w:tbl>
      <w:tblPr>
        <w:tblStyle w:val="Grilledutableau"/>
        <w:tblW w:w="0" w:type="auto"/>
        <w:tblLook w:val="04A0" w:firstRow="1" w:lastRow="0" w:firstColumn="1" w:lastColumn="0" w:noHBand="0" w:noVBand="1"/>
      </w:tblPr>
      <w:tblGrid>
        <w:gridCol w:w="1943"/>
        <w:gridCol w:w="837"/>
        <w:gridCol w:w="850"/>
        <w:gridCol w:w="837"/>
        <w:gridCol w:w="849"/>
        <w:gridCol w:w="972"/>
        <w:gridCol w:w="849"/>
        <w:gridCol w:w="972"/>
        <w:gridCol w:w="849"/>
        <w:gridCol w:w="670"/>
      </w:tblGrid>
      <w:tr w:rsidR="008C5C24" w:rsidRPr="006847BA" w:rsidTr="008C5C24">
        <w:trPr>
          <w:trHeight w:val="1501"/>
        </w:trPr>
        <w:tc>
          <w:tcPr>
            <w:tcW w:w="1943" w:type="dxa"/>
          </w:tcPr>
          <w:p w:rsidR="008C5C24" w:rsidRPr="0061020E" w:rsidRDefault="008C5C24" w:rsidP="008F6018">
            <w:pPr>
              <w:autoSpaceDE w:val="0"/>
              <w:autoSpaceDN w:val="0"/>
              <w:adjustRightInd w:val="0"/>
              <w:spacing w:after="120"/>
              <w:jc w:val="both"/>
              <w:rPr>
                <w:rFonts w:ascii="Rockwell" w:hAnsi="Rockwell" w:cs="Arial"/>
                <w:b/>
                <w:bCs/>
                <w:sz w:val="24"/>
                <w:szCs w:val="24"/>
                <w:lang w:val="fr-FR"/>
              </w:rPr>
            </w:pPr>
            <w:r w:rsidRPr="0061020E">
              <w:rPr>
                <w:rFonts w:ascii="Rockwell" w:hAnsi="Rockwell" w:cs="Arial"/>
                <w:b/>
                <w:bCs/>
                <w:sz w:val="24"/>
                <w:szCs w:val="24"/>
              </w:rPr>
              <w:t>Code de</w:t>
            </w:r>
          </w:p>
          <w:p w:rsidR="008C5C24" w:rsidRPr="0061020E" w:rsidRDefault="008C5C24" w:rsidP="008F6018">
            <w:pPr>
              <w:autoSpaceDE w:val="0"/>
              <w:autoSpaceDN w:val="0"/>
              <w:adjustRightInd w:val="0"/>
              <w:spacing w:after="120"/>
              <w:jc w:val="both"/>
              <w:rPr>
                <w:rFonts w:ascii="Rockwell" w:hAnsi="Rockwell" w:cs="Arial"/>
                <w:b/>
                <w:bCs/>
                <w:sz w:val="24"/>
                <w:szCs w:val="24"/>
                <w:lang w:val="fr-FR"/>
              </w:rPr>
            </w:pPr>
            <w:r w:rsidRPr="0061020E">
              <w:rPr>
                <w:rFonts w:ascii="Rockwell" w:hAnsi="Rockwell" w:cs="Arial"/>
                <w:b/>
                <w:bCs/>
                <w:sz w:val="24"/>
                <w:szCs w:val="24"/>
              </w:rPr>
              <w:t>classification</w:t>
            </w:r>
          </w:p>
          <w:p w:rsidR="008C5C24" w:rsidRPr="0061020E" w:rsidRDefault="008C5C24" w:rsidP="008F6018">
            <w:pPr>
              <w:spacing w:after="120"/>
              <w:jc w:val="both"/>
              <w:rPr>
                <w:rFonts w:ascii="Rockwell" w:hAnsi="Rockwell"/>
                <w:sz w:val="24"/>
                <w:szCs w:val="24"/>
                <w:lang w:val="fr-FR"/>
              </w:rPr>
            </w:pPr>
            <w:r w:rsidRPr="0061020E">
              <w:rPr>
                <w:rFonts w:ascii="Rockwell" w:hAnsi="Rockwell" w:cs="Arial"/>
                <w:b/>
                <w:bCs/>
                <w:sz w:val="24"/>
                <w:szCs w:val="24"/>
              </w:rPr>
              <w:t>des catégories</w:t>
            </w:r>
          </w:p>
        </w:tc>
        <w:tc>
          <w:tcPr>
            <w:tcW w:w="837" w:type="dxa"/>
          </w:tcPr>
          <w:p w:rsidR="008C5C24" w:rsidRPr="0061020E" w:rsidRDefault="008C5C24" w:rsidP="008F6018">
            <w:pPr>
              <w:spacing w:after="120"/>
              <w:jc w:val="both"/>
              <w:rPr>
                <w:rFonts w:ascii="Rockwell" w:hAnsi="Rockwell"/>
                <w:sz w:val="24"/>
                <w:szCs w:val="24"/>
                <w:lang w:val="fr-FR"/>
              </w:rPr>
            </w:pPr>
          </w:p>
        </w:tc>
        <w:tc>
          <w:tcPr>
            <w:tcW w:w="850" w:type="dxa"/>
          </w:tcPr>
          <w:p w:rsidR="008C5C24" w:rsidRPr="0061020E" w:rsidRDefault="008C5C24" w:rsidP="008F6018">
            <w:pPr>
              <w:spacing w:after="120"/>
              <w:jc w:val="both"/>
              <w:rPr>
                <w:rFonts w:ascii="Rockwell" w:hAnsi="Rockwell"/>
                <w:sz w:val="24"/>
                <w:szCs w:val="24"/>
                <w:lang w:val="fr-FR"/>
              </w:rPr>
            </w:pPr>
          </w:p>
        </w:tc>
        <w:tc>
          <w:tcPr>
            <w:tcW w:w="837" w:type="dxa"/>
          </w:tcPr>
          <w:p w:rsidR="008C5C24" w:rsidRPr="0061020E" w:rsidRDefault="008C5C24" w:rsidP="008F6018">
            <w:pPr>
              <w:spacing w:after="120"/>
              <w:jc w:val="both"/>
              <w:rPr>
                <w:rFonts w:ascii="Rockwell" w:hAnsi="Rockwell"/>
                <w:sz w:val="24"/>
                <w:szCs w:val="24"/>
                <w:lang w:val="fr-FR"/>
              </w:rPr>
            </w:pPr>
          </w:p>
        </w:tc>
        <w:tc>
          <w:tcPr>
            <w:tcW w:w="849" w:type="dxa"/>
          </w:tcPr>
          <w:p w:rsidR="008C5C24" w:rsidRPr="0061020E" w:rsidRDefault="008C5C24" w:rsidP="008F6018">
            <w:pPr>
              <w:spacing w:after="120"/>
              <w:jc w:val="both"/>
              <w:rPr>
                <w:rFonts w:ascii="Rockwell" w:hAnsi="Rockwell"/>
                <w:sz w:val="24"/>
                <w:szCs w:val="24"/>
                <w:lang w:val="fr-FR"/>
              </w:rPr>
            </w:pPr>
          </w:p>
        </w:tc>
        <w:tc>
          <w:tcPr>
            <w:tcW w:w="972" w:type="dxa"/>
          </w:tcPr>
          <w:p w:rsidR="008C5C24" w:rsidRPr="0061020E" w:rsidRDefault="008C5C24" w:rsidP="008F6018">
            <w:pPr>
              <w:spacing w:after="120"/>
              <w:jc w:val="both"/>
              <w:rPr>
                <w:rFonts w:ascii="Rockwell" w:hAnsi="Rockwell"/>
                <w:sz w:val="24"/>
                <w:szCs w:val="24"/>
                <w:lang w:val="fr-FR"/>
              </w:rPr>
            </w:pPr>
          </w:p>
        </w:tc>
        <w:tc>
          <w:tcPr>
            <w:tcW w:w="849" w:type="dxa"/>
          </w:tcPr>
          <w:p w:rsidR="008C5C24" w:rsidRPr="0061020E" w:rsidRDefault="008C5C24" w:rsidP="008F6018">
            <w:pPr>
              <w:spacing w:after="120"/>
              <w:jc w:val="both"/>
              <w:rPr>
                <w:rFonts w:ascii="Rockwell" w:hAnsi="Rockwell"/>
                <w:sz w:val="24"/>
                <w:szCs w:val="24"/>
                <w:lang w:val="fr-FR"/>
              </w:rPr>
            </w:pPr>
          </w:p>
        </w:tc>
        <w:tc>
          <w:tcPr>
            <w:tcW w:w="972" w:type="dxa"/>
          </w:tcPr>
          <w:p w:rsidR="008C5C24" w:rsidRPr="0061020E" w:rsidRDefault="008C5C24" w:rsidP="008F6018">
            <w:pPr>
              <w:spacing w:after="120"/>
              <w:jc w:val="both"/>
              <w:rPr>
                <w:rFonts w:ascii="Rockwell" w:hAnsi="Rockwell"/>
                <w:sz w:val="24"/>
                <w:szCs w:val="24"/>
                <w:lang w:val="fr-FR"/>
              </w:rPr>
            </w:pPr>
          </w:p>
        </w:tc>
        <w:tc>
          <w:tcPr>
            <w:tcW w:w="849" w:type="dxa"/>
          </w:tcPr>
          <w:p w:rsidR="008C5C24" w:rsidRPr="0061020E" w:rsidRDefault="008C5C24" w:rsidP="008F6018">
            <w:pPr>
              <w:spacing w:after="120"/>
              <w:jc w:val="both"/>
              <w:rPr>
                <w:rFonts w:ascii="Rockwell" w:hAnsi="Rockwell"/>
                <w:sz w:val="24"/>
                <w:szCs w:val="24"/>
                <w:lang w:val="fr-FR"/>
              </w:rPr>
            </w:pPr>
          </w:p>
        </w:tc>
        <w:tc>
          <w:tcPr>
            <w:tcW w:w="670" w:type="dxa"/>
          </w:tcPr>
          <w:p w:rsidR="008C5C24" w:rsidRPr="0061020E" w:rsidRDefault="008C5C24" w:rsidP="008F6018">
            <w:pPr>
              <w:spacing w:after="120"/>
              <w:jc w:val="both"/>
              <w:rPr>
                <w:rFonts w:ascii="Rockwell" w:hAnsi="Rockwell"/>
                <w:sz w:val="24"/>
                <w:szCs w:val="24"/>
                <w:lang w:val="fr-FR"/>
              </w:rPr>
            </w:pPr>
          </w:p>
        </w:tc>
      </w:tr>
      <w:tr w:rsidR="008C5C24" w:rsidRPr="006847BA" w:rsidTr="008C5C24">
        <w:tc>
          <w:tcPr>
            <w:tcW w:w="1943"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 xml:space="preserve">A </w:t>
            </w:r>
          </w:p>
        </w:tc>
        <w:tc>
          <w:tcPr>
            <w:tcW w:w="83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2,3 </w:t>
            </w:r>
            <w:r>
              <w:rPr>
                <w:rFonts w:ascii="Rockwell" w:hAnsi="Rockwell" w:cs="Symbol"/>
                <w:sz w:val="24"/>
                <w:szCs w:val="24"/>
              </w:rPr>
              <w:t>±</w:t>
            </w:r>
            <w:r w:rsidRPr="0061020E">
              <w:rPr>
                <w:rFonts w:ascii="Rockwell" w:hAnsi="Rockwell" w:cs="Arial"/>
                <w:sz w:val="24"/>
                <w:szCs w:val="24"/>
              </w:rPr>
              <w:t>0,1</w:t>
            </w:r>
          </w:p>
        </w:tc>
        <w:tc>
          <w:tcPr>
            <w:tcW w:w="85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83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4,5 </w:t>
            </w:r>
            <w:r>
              <w:rPr>
                <w:rFonts w:ascii="Rockwell" w:hAnsi="Rockwell" w:cs="Symbol"/>
                <w:sz w:val="24"/>
                <w:szCs w:val="24"/>
              </w:rPr>
              <w:t>±</w:t>
            </w:r>
            <w:r w:rsidRPr="0061020E">
              <w:rPr>
                <w:rFonts w:ascii="Rockwell" w:hAnsi="Rockwell" w:cs="Arial"/>
                <w:sz w:val="24"/>
                <w:szCs w:val="24"/>
              </w:rPr>
              <w:t>0,1</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20 </w:t>
            </w:r>
            <w:r>
              <w:rPr>
                <w:rFonts w:ascii="Rockwell" w:hAnsi="Rockwell" w:cs="Symbol"/>
                <w:sz w:val="24"/>
                <w:szCs w:val="24"/>
              </w:rPr>
              <w:t>±</w:t>
            </w:r>
            <w:r w:rsidRPr="0061020E">
              <w:rPr>
                <w:rFonts w:ascii="Rockwell" w:hAnsi="Rockwell" w:cs="Arial"/>
                <w:sz w:val="24"/>
                <w:szCs w:val="24"/>
              </w:rPr>
              <w:t>1</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6,2 </w:t>
            </w:r>
            <w:r>
              <w:rPr>
                <w:rFonts w:ascii="Rockwell" w:hAnsi="Rockwell" w:cs="Symbol"/>
                <w:sz w:val="24"/>
                <w:szCs w:val="24"/>
              </w:rPr>
              <w:t>±</w:t>
            </w:r>
            <w:r w:rsidRPr="0061020E">
              <w:rPr>
                <w:rFonts w:ascii="Rockwell" w:hAnsi="Rockwell" w:cs="Arial"/>
                <w:sz w:val="24"/>
                <w:szCs w:val="24"/>
              </w:rPr>
              <w:t>0,1</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6,3 </w:t>
            </w:r>
            <w:r>
              <w:rPr>
                <w:rFonts w:ascii="Rockwell" w:hAnsi="Rockwell" w:cs="Symbol"/>
                <w:sz w:val="24"/>
                <w:szCs w:val="24"/>
              </w:rPr>
              <w:t>±</w:t>
            </w:r>
            <w:r w:rsidRPr="0061020E">
              <w:rPr>
                <w:rFonts w:ascii="Rockwell" w:hAnsi="Rockwell" w:cs="Arial"/>
                <w:sz w:val="24"/>
                <w:szCs w:val="24"/>
              </w:rPr>
              <w:t>0,3</w:t>
            </w:r>
          </w:p>
        </w:tc>
        <w:tc>
          <w:tcPr>
            <w:tcW w:w="67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111 </w:t>
            </w:r>
            <w:r>
              <w:rPr>
                <w:rFonts w:ascii="Rockwell" w:hAnsi="Rockwell" w:cs="Symbol"/>
                <w:sz w:val="24"/>
                <w:szCs w:val="24"/>
              </w:rPr>
              <w:t>±</w:t>
            </w:r>
            <w:r w:rsidRPr="0061020E">
              <w:rPr>
                <w:rFonts w:ascii="Rockwell" w:hAnsi="Rockwell" w:cs="Arial"/>
                <w:sz w:val="24"/>
                <w:szCs w:val="24"/>
              </w:rPr>
              <w:t>2</w:t>
            </w:r>
          </w:p>
        </w:tc>
      </w:tr>
      <w:tr w:rsidR="008C5C24" w:rsidRPr="006847BA" w:rsidTr="008C5C24">
        <w:tc>
          <w:tcPr>
            <w:tcW w:w="1943"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 xml:space="preserve">B </w:t>
            </w:r>
          </w:p>
        </w:tc>
        <w:tc>
          <w:tcPr>
            <w:tcW w:w="83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2,3 </w:t>
            </w:r>
            <w:r>
              <w:rPr>
                <w:rFonts w:ascii="Rockwell" w:hAnsi="Rockwell" w:cs="Symbol"/>
                <w:sz w:val="24"/>
                <w:szCs w:val="24"/>
              </w:rPr>
              <w:t>±</w:t>
            </w:r>
            <w:r w:rsidRPr="0061020E">
              <w:rPr>
                <w:rFonts w:ascii="Rockwell" w:hAnsi="Rockwell" w:cs="Arial"/>
                <w:sz w:val="24"/>
                <w:szCs w:val="24"/>
              </w:rPr>
              <w:t>0,1</w:t>
            </w:r>
          </w:p>
        </w:tc>
        <w:tc>
          <w:tcPr>
            <w:tcW w:w="85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83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4,5 </w:t>
            </w:r>
            <w:r>
              <w:rPr>
                <w:rFonts w:ascii="Rockwell" w:hAnsi="Rockwell" w:cs="Symbol"/>
                <w:sz w:val="24"/>
                <w:szCs w:val="24"/>
              </w:rPr>
              <w:t>±</w:t>
            </w:r>
            <w:r w:rsidRPr="0061020E">
              <w:rPr>
                <w:rFonts w:ascii="Rockwell" w:hAnsi="Rockwell" w:cs="Arial"/>
                <w:sz w:val="24"/>
                <w:szCs w:val="24"/>
              </w:rPr>
              <w:t>0,1</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20 </w:t>
            </w:r>
            <w:r>
              <w:rPr>
                <w:rFonts w:ascii="Rockwell" w:hAnsi="Rockwell" w:cs="Symbol"/>
                <w:sz w:val="24"/>
                <w:szCs w:val="24"/>
              </w:rPr>
              <w:t>±</w:t>
            </w:r>
            <w:r w:rsidRPr="0061020E">
              <w:rPr>
                <w:rFonts w:ascii="Rockwell" w:hAnsi="Rockwell" w:cs="Arial"/>
                <w:sz w:val="24"/>
                <w:szCs w:val="24"/>
              </w:rPr>
              <w:t>1</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6,2 </w:t>
            </w:r>
            <w:r>
              <w:rPr>
                <w:rFonts w:ascii="Rockwell" w:hAnsi="Rockwell" w:cs="Symbol"/>
                <w:sz w:val="24"/>
                <w:szCs w:val="24"/>
              </w:rPr>
              <w:t>±</w:t>
            </w:r>
            <w:r w:rsidRPr="0061020E">
              <w:rPr>
                <w:rFonts w:ascii="Rockwell" w:hAnsi="Rockwell" w:cs="Arial"/>
                <w:sz w:val="24"/>
                <w:szCs w:val="24"/>
              </w:rPr>
              <w:t>0,1</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6,3 </w:t>
            </w:r>
            <w:r>
              <w:rPr>
                <w:rFonts w:ascii="Rockwell" w:hAnsi="Rockwell" w:cs="Symbol"/>
                <w:sz w:val="24"/>
                <w:szCs w:val="24"/>
              </w:rPr>
              <w:t>±</w:t>
            </w:r>
            <w:r w:rsidRPr="0061020E">
              <w:rPr>
                <w:rFonts w:ascii="Rockwell" w:hAnsi="Rockwell" w:cs="Arial"/>
                <w:sz w:val="24"/>
                <w:szCs w:val="24"/>
              </w:rPr>
              <w:t>0,3</w:t>
            </w:r>
          </w:p>
        </w:tc>
        <w:tc>
          <w:tcPr>
            <w:tcW w:w="67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87 </w:t>
            </w:r>
            <w:r>
              <w:rPr>
                <w:rFonts w:ascii="Rockwell" w:hAnsi="Rockwell" w:cs="Symbol"/>
                <w:sz w:val="24"/>
                <w:szCs w:val="24"/>
              </w:rPr>
              <w:t>±</w:t>
            </w:r>
            <w:r w:rsidRPr="0061020E">
              <w:rPr>
                <w:rFonts w:ascii="Rockwell" w:hAnsi="Rockwell" w:cs="Arial"/>
                <w:sz w:val="24"/>
                <w:szCs w:val="24"/>
              </w:rPr>
              <w:t>2</w:t>
            </w:r>
          </w:p>
        </w:tc>
      </w:tr>
      <w:tr w:rsidR="00EA4381" w:rsidRPr="006847BA" w:rsidTr="009D6A6D">
        <w:trPr>
          <w:trHeight w:val="1501"/>
        </w:trPr>
        <w:tc>
          <w:tcPr>
            <w:tcW w:w="1943" w:type="dxa"/>
          </w:tcPr>
          <w:p w:rsidR="00EA4381" w:rsidRPr="0061020E" w:rsidRDefault="00EA4381" w:rsidP="009D6A6D">
            <w:pPr>
              <w:autoSpaceDE w:val="0"/>
              <w:autoSpaceDN w:val="0"/>
              <w:adjustRightInd w:val="0"/>
              <w:spacing w:after="120"/>
              <w:jc w:val="both"/>
              <w:rPr>
                <w:rFonts w:ascii="Rockwell" w:hAnsi="Rockwell" w:cs="Arial"/>
                <w:b/>
                <w:bCs/>
                <w:sz w:val="24"/>
                <w:szCs w:val="24"/>
                <w:lang w:val="fr-FR"/>
              </w:rPr>
            </w:pPr>
            <w:r w:rsidRPr="0061020E">
              <w:rPr>
                <w:rFonts w:ascii="Rockwell" w:hAnsi="Rockwell" w:cs="Arial"/>
                <w:b/>
                <w:bCs/>
                <w:sz w:val="24"/>
                <w:szCs w:val="24"/>
              </w:rPr>
              <w:lastRenderedPageBreak/>
              <w:t>Code de</w:t>
            </w:r>
          </w:p>
          <w:p w:rsidR="00EA4381" w:rsidRPr="0061020E" w:rsidRDefault="00EA4381" w:rsidP="009D6A6D">
            <w:pPr>
              <w:autoSpaceDE w:val="0"/>
              <w:autoSpaceDN w:val="0"/>
              <w:adjustRightInd w:val="0"/>
              <w:spacing w:after="120"/>
              <w:jc w:val="both"/>
              <w:rPr>
                <w:rFonts w:ascii="Rockwell" w:hAnsi="Rockwell" w:cs="Arial"/>
                <w:b/>
                <w:bCs/>
                <w:sz w:val="24"/>
                <w:szCs w:val="24"/>
                <w:lang w:val="fr-FR"/>
              </w:rPr>
            </w:pPr>
            <w:r w:rsidRPr="0061020E">
              <w:rPr>
                <w:rFonts w:ascii="Rockwell" w:hAnsi="Rockwell" w:cs="Arial"/>
                <w:b/>
                <w:bCs/>
                <w:sz w:val="24"/>
                <w:szCs w:val="24"/>
              </w:rPr>
              <w:t>classification</w:t>
            </w:r>
          </w:p>
          <w:p w:rsidR="00EA4381" w:rsidRPr="0061020E" w:rsidRDefault="00EA4381" w:rsidP="009D6A6D">
            <w:pPr>
              <w:spacing w:after="120"/>
              <w:jc w:val="both"/>
              <w:rPr>
                <w:rFonts w:ascii="Rockwell" w:hAnsi="Rockwell"/>
                <w:sz w:val="24"/>
                <w:szCs w:val="24"/>
                <w:lang w:val="fr-FR"/>
              </w:rPr>
            </w:pPr>
            <w:r w:rsidRPr="0061020E">
              <w:rPr>
                <w:rFonts w:ascii="Rockwell" w:hAnsi="Rockwell" w:cs="Arial"/>
                <w:b/>
                <w:bCs/>
                <w:sz w:val="24"/>
                <w:szCs w:val="24"/>
              </w:rPr>
              <w:t>des catégories</w:t>
            </w:r>
          </w:p>
        </w:tc>
        <w:tc>
          <w:tcPr>
            <w:tcW w:w="837" w:type="dxa"/>
          </w:tcPr>
          <w:p w:rsidR="00EA4381" w:rsidRPr="0061020E" w:rsidRDefault="00EA4381" w:rsidP="009D6A6D">
            <w:pPr>
              <w:spacing w:after="120"/>
              <w:jc w:val="both"/>
              <w:rPr>
                <w:rFonts w:ascii="Rockwell" w:hAnsi="Rockwell"/>
                <w:sz w:val="24"/>
                <w:szCs w:val="24"/>
                <w:lang w:val="fr-FR"/>
              </w:rPr>
            </w:pPr>
          </w:p>
        </w:tc>
        <w:tc>
          <w:tcPr>
            <w:tcW w:w="850" w:type="dxa"/>
          </w:tcPr>
          <w:p w:rsidR="00EA4381" w:rsidRPr="0061020E" w:rsidRDefault="00EA4381" w:rsidP="009D6A6D">
            <w:pPr>
              <w:spacing w:after="120"/>
              <w:jc w:val="both"/>
              <w:rPr>
                <w:rFonts w:ascii="Rockwell" w:hAnsi="Rockwell"/>
                <w:sz w:val="24"/>
                <w:szCs w:val="24"/>
                <w:lang w:val="fr-FR"/>
              </w:rPr>
            </w:pPr>
          </w:p>
        </w:tc>
        <w:tc>
          <w:tcPr>
            <w:tcW w:w="837" w:type="dxa"/>
          </w:tcPr>
          <w:p w:rsidR="00EA4381" w:rsidRPr="0061020E" w:rsidRDefault="00EA4381" w:rsidP="009D6A6D">
            <w:pPr>
              <w:spacing w:after="120"/>
              <w:jc w:val="both"/>
              <w:rPr>
                <w:rFonts w:ascii="Rockwell" w:hAnsi="Rockwell"/>
                <w:sz w:val="24"/>
                <w:szCs w:val="24"/>
                <w:lang w:val="fr-FR"/>
              </w:rPr>
            </w:pPr>
          </w:p>
        </w:tc>
        <w:tc>
          <w:tcPr>
            <w:tcW w:w="849" w:type="dxa"/>
          </w:tcPr>
          <w:p w:rsidR="00EA4381" w:rsidRPr="0061020E" w:rsidRDefault="00EA4381" w:rsidP="009D6A6D">
            <w:pPr>
              <w:spacing w:after="120"/>
              <w:jc w:val="both"/>
              <w:rPr>
                <w:rFonts w:ascii="Rockwell" w:hAnsi="Rockwell"/>
                <w:sz w:val="24"/>
                <w:szCs w:val="24"/>
                <w:lang w:val="fr-FR"/>
              </w:rPr>
            </w:pPr>
          </w:p>
        </w:tc>
        <w:tc>
          <w:tcPr>
            <w:tcW w:w="972" w:type="dxa"/>
          </w:tcPr>
          <w:p w:rsidR="00EA4381" w:rsidRPr="0061020E" w:rsidRDefault="00EA4381" w:rsidP="009D6A6D">
            <w:pPr>
              <w:spacing w:after="120"/>
              <w:jc w:val="both"/>
              <w:rPr>
                <w:rFonts w:ascii="Rockwell" w:hAnsi="Rockwell"/>
                <w:sz w:val="24"/>
                <w:szCs w:val="24"/>
                <w:lang w:val="fr-FR"/>
              </w:rPr>
            </w:pPr>
          </w:p>
        </w:tc>
        <w:tc>
          <w:tcPr>
            <w:tcW w:w="849" w:type="dxa"/>
          </w:tcPr>
          <w:p w:rsidR="00EA4381" w:rsidRPr="0061020E" w:rsidRDefault="00EA4381" w:rsidP="009D6A6D">
            <w:pPr>
              <w:spacing w:after="120"/>
              <w:jc w:val="both"/>
              <w:rPr>
                <w:rFonts w:ascii="Rockwell" w:hAnsi="Rockwell"/>
                <w:sz w:val="24"/>
                <w:szCs w:val="24"/>
                <w:lang w:val="fr-FR"/>
              </w:rPr>
            </w:pPr>
          </w:p>
        </w:tc>
        <w:tc>
          <w:tcPr>
            <w:tcW w:w="972" w:type="dxa"/>
          </w:tcPr>
          <w:p w:rsidR="00EA4381" w:rsidRPr="0061020E" w:rsidRDefault="00EA4381" w:rsidP="009D6A6D">
            <w:pPr>
              <w:spacing w:after="120"/>
              <w:jc w:val="both"/>
              <w:rPr>
                <w:rFonts w:ascii="Rockwell" w:hAnsi="Rockwell"/>
                <w:sz w:val="24"/>
                <w:szCs w:val="24"/>
                <w:lang w:val="fr-FR"/>
              </w:rPr>
            </w:pPr>
          </w:p>
        </w:tc>
        <w:tc>
          <w:tcPr>
            <w:tcW w:w="849" w:type="dxa"/>
          </w:tcPr>
          <w:p w:rsidR="00EA4381" w:rsidRPr="0061020E" w:rsidRDefault="00EA4381" w:rsidP="009D6A6D">
            <w:pPr>
              <w:spacing w:after="120"/>
              <w:jc w:val="both"/>
              <w:rPr>
                <w:rFonts w:ascii="Rockwell" w:hAnsi="Rockwell"/>
                <w:sz w:val="24"/>
                <w:szCs w:val="24"/>
                <w:lang w:val="fr-FR"/>
              </w:rPr>
            </w:pPr>
          </w:p>
        </w:tc>
        <w:tc>
          <w:tcPr>
            <w:tcW w:w="670" w:type="dxa"/>
          </w:tcPr>
          <w:p w:rsidR="00EA4381" w:rsidRPr="0061020E" w:rsidRDefault="00EA4381" w:rsidP="009D6A6D">
            <w:pPr>
              <w:spacing w:after="120"/>
              <w:jc w:val="both"/>
              <w:rPr>
                <w:rFonts w:ascii="Rockwell" w:hAnsi="Rockwell"/>
                <w:sz w:val="24"/>
                <w:szCs w:val="24"/>
                <w:lang w:val="fr-FR"/>
              </w:rPr>
            </w:pPr>
          </w:p>
        </w:tc>
      </w:tr>
      <w:tr w:rsidR="008C5C24" w:rsidRPr="006847BA" w:rsidTr="008C5C24">
        <w:tc>
          <w:tcPr>
            <w:tcW w:w="1943"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 xml:space="preserve">C </w:t>
            </w:r>
          </w:p>
        </w:tc>
        <w:tc>
          <w:tcPr>
            <w:tcW w:w="837"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2,5 </w:t>
            </w:r>
            <w:r>
              <w:rPr>
                <w:rFonts w:ascii="Rockwell" w:hAnsi="Rockwell" w:cs="Symbol"/>
                <w:sz w:val="24"/>
                <w:szCs w:val="24"/>
              </w:rPr>
              <w:t>±</w:t>
            </w:r>
            <w:r w:rsidRPr="0061020E">
              <w:rPr>
                <w:rFonts w:ascii="Rockwell" w:hAnsi="Rockwell" w:cs="Arial"/>
                <w:sz w:val="24"/>
                <w:szCs w:val="24"/>
              </w:rPr>
              <w:t>0,05</w:t>
            </w:r>
          </w:p>
        </w:tc>
        <w:tc>
          <w:tcPr>
            <w:tcW w:w="85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9 </w:t>
            </w:r>
            <w:r>
              <w:rPr>
                <w:rFonts w:ascii="Rockwell" w:hAnsi="Rockwell" w:cs="Symbol"/>
                <w:sz w:val="24"/>
                <w:szCs w:val="24"/>
              </w:rPr>
              <w:t>±</w:t>
            </w:r>
            <w:r w:rsidRPr="0061020E">
              <w:rPr>
                <w:rFonts w:ascii="Rockwell" w:hAnsi="Rockwell" w:cs="Arial"/>
                <w:sz w:val="24"/>
                <w:szCs w:val="24"/>
              </w:rPr>
              <w:t>0,5</w:t>
            </w:r>
          </w:p>
        </w:tc>
        <w:tc>
          <w:tcPr>
            <w:tcW w:w="837" w:type="dxa"/>
          </w:tcPr>
          <w:p w:rsidR="008C5C24" w:rsidRPr="0061020E" w:rsidRDefault="008C5C24" w:rsidP="008F6018">
            <w:pPr>
              <w:autoSpaceDE w:val="0"/>
              <w:autoSpaceDN w:val="0"/>
              <w:adjustRightInd w:val="0"/>
              <w:spacing w:after="120"/>
              <w:jc w:val="both"/>
              <w:rPr>
                <w:rFonts w:ascii="Rockwell" w:hAnsi="Rockwell" w:cs="Arial"/>
                <w:sz w:val="24"/>
                <w:szCs w:val="24"/>
                <w:lang w:val="fr-FR"/>
              </w:rPr>
            </w:pPr>
            <w:r w:rsidRPr="0061020E">
              <w:rPr>
                <w:rFonts w:ascii="Rockwell" w:hAnsi="Rockwell" w:cs="Arial"/>
                <w:sz w:val="24"/>
                <w:szCs w:val="24"/>
              </w:rPr>
              <w:t>2,5 - 0,05</w:t>
            </w:r>
          </w:p>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+0,60</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15 </w:t>
            </w:r>
            <w:r>
              <w:rPr>
                <w:rFonts w:ascii="Rockwell" w:hAnsi="Rockwell" w:cs="Symbol"/>
                <w:sz w:val="24"/>
                <w:szCs w:val="24"/>
              </w:rPr>
              <w:t>±</w:t>
            </w:r>
            <w:r w:rsidRPr="0061020E">
              <w:rPr>
                <w:rFonts w:ascii="Rockwell" w:hAnsi="Rockwell" w:cs="Arial"/>
                <w:sz w:val="24"/>
                <w:szCs w:val="24"/>
              </w:rPr>
              <w:t>0,5</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4,5 </w:t>
            </w:r>
            <w:r>
              <w:rPr>
                <w:rFonts w:ascii="Rockwell" w:hAnsi="Rockwell" w:cs="Symbol"/>
                <w:sz w:val="24"/>
                <w:szCs w:val="24"/>
              </w:rPr>
              <w:t>±</w:t>
            </w:r>
            <w:r w:rsidRPr="0061020E">
              <w:rPr>
                <w:rFonts w:ascii="Rockwell" w:hAnsi="Rockwell" w:cs="Arial"/>
                <w:sz w:val="24"/>
                <w:szCs w:val="24"/>
              </w:rPr>
              <w:t>0,05</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20 </w:t>
            </w:r>
            <w:r>
              <w:rPr>
                <w:rFonts w:ascii="Rockwell" w:hAnsi="Rockwell" w:cs="Symbol"/>
                <w:sz w:val="24"/>
                <w:szCs w:val="24"/>
              </w:rPr>
              <w:t>±</w:t>
            </w:r>
            <w:r w:rsidRPr="0061020E">
              <w:rPr>
                <w:rFonts w:ascii="Rockwell" w:hAnsi="Rockwell" w:cs="Arial"/>
                <w:sz w:val="24"/>
                <w:szCs w:val="24"/>
              </w:rPr>
              <w:t>0.5</w:t>
            </w:r>
          </w:p>
        </w:tc>
        <w:tc>
          <w:tcPr>
            <w:tcW w:w="972"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6,3 </w:t>
            </w:r>
            <w:r>
              <w:rPr>
                <w:rFonts w:ascii="Rockwell" w:hAnsi="Rockwell" w:cs="Symbol"/>
                <w:sz w:val="24"/>
                <w:szCs w:val="24"/>
              </w:rPr>
              <w:t>±</w:t>
            </w:r>
            <w:r w:rsidRPr="0061020E">
              <w:rPr>
                <w:rFonts w:ascii="Rockwell" w:hAnsi="Rockwell" w:cs="Arial"/>
                <w:sz w:val="24"/>
                <w:szCs w:val="24"/>
              </w:rPr>
              <w:t>0,15</w:t>
            </w:r>
          </w:p>
        </w:tc>
        <w:tc>
          <w:tcPr>
            <w:tcW w:w="849"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sz w:val="24"/>
                <w:szCs w:val="24"/>
              </w:rPr>
              <w:t>-</w:t>
            </w:r>
          </w:p>
        </w:tc>
        <w:tc>
          <w:tcPr>
            <w:tcW w:w="670" w:type="dxa"/>
          </w:tcPr>
          <w:p w:rsidR="008C5C24" w:rsidRPr="0061020E" w:rsidRDefault="008C5C24" w:rsidP="008F6018">
            <w:pPr>
              <w:spacing w:after="120"/>
              <w:jc w:val="both"/>
              <w:rPr>
                <w:rFonts w:ascii="Rockwell" w:hAnsi="Rockwell"/>
                <w:sz w:val="24"/>
                <w:szCs w:val="24"/>
                <w:lang w:val="fr-FR"/>
              </w:rPr>
            </w:pPr>
            <w:r w:rsidRPr="0061020E">
              <w:rPr>
                <w:rFonts w:ascii="Rockwell" w:hAnsi="Rockwell" w:cs="Arial"/>
                <w:sz w:val="24"/>
                <w:szCs w:val="24"/>
              </w:rPr>
              <w:t xml:space="preserve">110 </w:t>
            </w:r>
            <w:r>
              <w:rPr>
                <w:rFonts w:ascii="Rockwell" w:hAnsi="Rockwell" w:cs="Symbol"/>
                <w:sz w:val="24"/>
                <w:szCs w:val="24"/>
              </w:rPr>
              <w:t>±</w:t>
            </w:r>
            <w:r w:rsidRPr="0061020E">
              <w:rPr>
                <w:rFonts w:ascii="Rockwell" w:hAnsi="Rockwell" w:cs="Arial"/>
                <w:sz w:val="24"/>
                <w:szCs w:val="24"/>
              </w:rPr>
              <w:t>1</w:t>
            </w:r>
          </w:p>
        </w:tc>
      </w:tr>
    </w:tbl>
    <w:p w:rsidR="008C7F3C" w:rsidRDefault="008C7F3C" w:rsidP="008F6018">
      <w:pPr>
        <w:spacing w:after="120" w:line="240" w:lineRule="auto"/>
        <w:jc w:val="both"/>
        <w:rPr>
          <w:rFonts w:ascii="Rockwell" w:hAnsi="Rockwell"/>
          <w:sz w:val="24"/>
          <w:szCs w:val="24"/>
          <w:lang w:val="fr-CA"/>
        </w:rPr>
      </w:pPr>
    </w:p>
    <w:p w:rsidR="008C7F3C" w:rsidRDefault="00133ACC" w:rsidP="008F6018">
      <w:pPr>
        <w:pStyle w:val="Titre2"/>
        <w:numPr>
          <w:ilvl w:val="0"/>
          <w:numId w:val="95"/>
        </w:numPr>
        <w:spacing w:before="0" w:after="120" w:line="240" w:lineRule="auto"/>
        <w:jc w:val="both"/>
        <w:rPr>
          <w:rFonts w:ascii="Rockwell" w:hAnsi="Rockwell"/>
          <w:color w:val="auto"/>
          <w:sz w:val="24"/>
          <w:szCs w:val="24"/>
        </w:rPr>
      </w:pPr>
      <w:bookmarkStart w:id="447" w:name="_Toc462414260"/>
      <w:bookmarkStart w:id="448" w:name="_Toc462414511"/>
      <w:bookmarkStart w:id="449" w:name="_Toc462414695"/>
      <w:bookmarkStart w:id="450" w:name="_Toc462414872"/>
      <w:bookmarkStart w:id="451" w:name="_Toc462414261"/>
      <w:bookmarkStart w:id="452" w:name="_Toc462414512"/>
      <w:bookmarkStart w:id="453" w:name="_Toc462414696"/>
      <w:bookmarkStart w:id="454" w:name="_Toc462414873"/>
      <w:bookmarkStart w:id="455" w:name="_Toc462414262"/>
      <w:bookmarkStart w:id="456" w:name="_Toc462414513"/>
      <w:bookmarkStart w:id="457" w:name="_Toc462414697"/>
      <w:bookmarkStart w:id="458" w:name="_Toc462414874"/>
      <w:bookmarkStart w:id="459" w:name="_Toc462414263"/>
      <w:bookmarkStart w:id="460" w:name="_Toc462414514"/>
      <w:bookmarkStart w:id="461" w:name="_Toc462414698"/>
      <w:bookmarkStart w:id="462" w:name="_Toc462414875"/>
      <w:bookmarkStart w:id="463" w:name="_Toc462414264"/>
      <w:bookmarkStart w:id="464" w:name="_Toc462414515"/>
      <w:bookmarkStart w:id="465" w:name="_Toc462414699"/>
      <w:bookmarkStart w:id="466" w:name="_Toc462414876"/>
      <w:bookmarkStart w:id="467" w:name="_Toc503784936"/>
      <w:bookmarkStart w:id="468" w:name="_Toc505063333"/>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61020E">
        <w:rPr>
          <w:rFonts w:ascii="Rockwell" w:hAnsi="Rockwell"/>
          <w:color w:val="auto"/>
          <w:sz w:val="24"/>
          <w:szCs w:val="24"/>
        </w:rPr>
        <w:t>Références normatives recommandées pour les autres produits dans le cadre des achats publics</w:t>
      </w:r>
      <w:bookmarkEnd w:id="467"/>
      <w:bookmarkEnd w:id="468"/>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 xml:space="preserve">Étant donné la difficulté </w:t>
      </w:r>
      <w:r w:rsidR="004D51DA">
        <w:rPr>
          <w:rFonts w:ascii="Rockwell" w:hAnsi="Rockwell"/>
          <w:sz w:val="24"/>
          <w:szCs w:val="24"/>
          <w:lang w:val="fr-CA"/>
        </w:rPr>
        <w:t>à</w:t>
      </w:r>
      <w:r w:rsidRPr="0061020E">
        <w:rPr>
          <w:rFonts w:ascii="Rockwell" w:hAnsi="Rockwell"/>
          <w:sz w:val="24"/>
          <w:szCs w:val="24"/>
          <w:lang w:val="fr-CA"/>
        </w:rPr>
        <w:t xml:space="preserve"> faire figurer de façon exhaustive</w:t>
      </w:r>
      <w:r w:rsidR="00BC794C">
        <w:rPr>
          <w:rFonts w:ascii="Rockwell" w:hAnsi="Rockwell"/>
          <w:sz w:val="24"/>
          <w:szCs w:val="24"/>
          <w:lang w:val="fr-CA"/>
        </w:rPr>
        <w:t>,</w:t>
      </w:r>
      <w:r w:rsidRPr="0061020E">
        <w:rPr>
          <w:rFonts w:ascii="Rockwell" w:hAnsi="Rockwell"/>
          <w:sz w:val="24"/>
          <w:szCs w:val="24"/>
          <w:lang w:val="fr-CA"/>
        </w:rPr>
        <w:t xml:space="preserve"> le contenu de toutes les normes applicables, cette </w:t>
      </w:r>
      <w:r w:rsidR="00D82F31" w:rsidRPr="0061020E">
        <w:rPr>
          <w:rFonts w:ascii="Rockwell" w:hAnsi="Rockwell"/>
          <w:sz w:val="24"/>
          <w:szCs w:val="24"/>
          <w:lang w:val="fr-CA"/>
        </w:rPr>
        <w:t>partie</w:t>
      </w:r>
      <w:r w:rsidRPr="0061020E">
        <w:rPr>
          <w:rFonts w:ascii="Rockwell" w:hAnsi="Rockwell"/>
          <w:sz w:val="24"/>
          <w:szCs w:val="24"/>
          <w:lang w:val="fr-CA"/>
        </w:rPr>
        <w:t xml:space="preserve"> fait un renvoi aux normes à utiliser dans le cadre de la définition des besoins</w:t>
      </w:r>
      <w:r w:rsidR="004D51DA">
        <w:rPr>
          <w:rFonts w:ascii="Rockwell" w:hAnsi="Rockwell"/>
          <w:sz w:val="24"/>
          <w:szCs w:val="24"/>
          <w:lang w:val="fr-CA"/>
        </w:rPr>
        <w:t>,</w:t>
      </w:r>
      <w:r w:rsidRPr="0061020E">
        <w:rPr>
          <w:rFonts w:ascii="Rockwell" w:hAnsi="Rockwell"/>
          <w:sz w:val="24"/>
          <w:szCs w:val="24"/>
          <w:lang w:val="fr-CA"/>
        </w:rPr>
        <w:t xml:space="preserve"> lors des achats publics.</w:t>
      </w:r>
    </w:p>
    <w:p w:rsidR="008C7F3C" w:rsidRPr="0061020E" w:rsidRDefault="008C7F3C" w:rsidP="008F6018">
      <w:pPr>
        <w:spacing w:after="120" w:line="240" w:lineRule="auto"/>
        <w:jc w:val="both"/>
        <w:rPr>
          <w:rFonts w:ascii="Rockwell" w:hAnsi="Rockwell"/>
          <w:sz w:val="24"/>
          <w:szCs w:val="24"/>
          <w:lang w:val="fr-CA"/>
        </w:rPr>
      </w:pPr>
      <w:r w:rsidRPr="0061020E">
        <w:rPr>
          <w:rFonts w:ascii="Rockwell" w:hAnsi="Rockwell"/>
          <w:sz w:val="24"/>
          <w:szCs w:val="24"/>
          <w:lang w:val="fr-CA"/>
        </w:rPr>
        <w:t>Il serait toujours intéressant que la structure en charge des achats consulte la structure en charge de la normalisation pour disposer des versions actualisé</w:t>
      </w:r>
      <w:r w:rsidR="00D82F31" w:rsidRPr="0061020E">
        <w:rPr>
          <w:rFonts w:ascii="Rockwell" w:hAnsi="Rockwell"/>
          <w:sz w:val="24"/>
          <w:szCs w:val="24"/>
          <w:lang w:val="fr-CA"/>
        </w:rPr>
        <w:t>e</w:t>
      </w:r>
      <w:r w:rsidRPr="0061020E">
        <w:rPr>
          <w:rFonts w:ascii="Rockwell" w:hAnsi="Rockwell"/>
          <w:sz w:val="24"/>
          <w:szCs w:val="24"/>
          <w:lang w:val="fr-CA"/>
        </w:rPr>
        <w:t>s des</w:t>
      </w:r>
      <w:r w:rsidR="004D51DA">
        <w:rPr>
          <w:rFonts w:ascii="Rockwell" w:hAnsi="Rockwell"/>
          <w:sz w:val="24"/>
          <w:szCs w:val="24"/>
          <w:lang w:val="fr-CA"/>
        </w:rPr>
        <w:t>di</w:t>
      </w:r>
      <w:r w:rsidR="002A5B9C">
        <w:rPr>
          <w:rFonts w:ascii="Rockwell" w:hAnsi="Rockwell"/>
          <w:sz w:val="24"/>
          <w:szCs w:val="24"/>
          <w:lang w:val="fr-CA"/>
        </w:rPr>
        <w:t>t</w:t>
      </w:r>
      <w:r w:rsidR="004D51DA">
        <w:rPr>
          <w:rFonts w:ascii="Rockwell" w:hAnsi="Rockwell"/>
          <w:sz w:val="24"/>
          <w:szCs w:val="24"/>
          <w:lang w:val="fr-CA"/>
        </w:rPr>
        <w:t>es</w:t>
      </w:r>
      <w:r w:rsidRPr="0061020E">
        <w:rPr>
          <w:rFonts w:ascii="Rockwell" w:hAnsi="Rockwell"/>
          <w:sz w:val="24"/>
          <w:szCs w:val="24"/>
          <w:lang w:val="fr-CA"/>
        </w:rPr>
        <w:t xml:space="preserve"> normes.</w:t>
      </w:r>
    </w:p>
    <w:p w:rsidR="008C7F3C" w:rsidRPr="00034A9C" w:rsidRDefault="008C7F3C" w:rsidP="00034A9C">
      <w:pPr>
        <w:spacing w:after="120" w:line="240" w:lineRule="auto"/>
        <w:jc w:val="both"/>
        <w:rPr>
          <w:rFonts w:ascii="Rockwell" w:hAnsi="Rockwell"/>
          <w:sz w:val="24"/>
          <w:szCs w:val="24"/>
          <w:lang w:val="fr-CA"/>
        </w:rPr>
      </w:pPr>
    </w:p>
    <w:p w:rsidR="008C5C24" w:rsidRPr="00034A9C" w:rsidRDefault="008C7F3C" w:rsidP="008F6018">
      <w:pPr>
        <w:pStyle w:val="Titre3"/>
        <w:numPr>
          <w:ilvl w:val="0"/>
          <w:numId w:val="104"/>
        </w:numPr>
        <w:spacing w:before="0" w:after="120" w:line="240" w:lineRule="auto"/>
        <w:jc w:val="both"/>
        <w:rPr>
          <w:rFonts w:ascii="Rockwell" w:hAnsi="Rockwell"/>
          <w:color w:val="auto"/>
          <w:sz w:val="24"/>
          <w:szCs w:val="24"/>
        </w:rPr>
      </w:pPr>
      <w:bookmarkStart w:id="469" w:name="_Toc462414266"/>
      <w:bookmarkStart w:id="470" w:name="_Toc462414517"/>
      <w:bookmarkStart w:id="471" w:name="_Toc462414701"/>
      <w:bookmarkStart w:id="472" w:name="_Toc462414878"/>
      <w:bookmarkStart w:id="473" w:name="_Toc462414267"/>
      <w:bookmarkStart w:id="474" w:name="_Toc462414518"/>
      <w:bookmarkStart w:id="475" w:name="_Toc462414702"/>
      <w:bookmarkStart w:id="476" w:name="_Toc462414879"/>
      <w:bookmarkStart w:id="477" w:name="_Toc462414268"/>
      <w:bookmarkStart w:id="478" w:name="_Toc462414519"/>
      <w:bookmarkStart w:id="479" w:name="_Toc462414703"/>
      <w:bookmarkStart w:id="480" w:name="_Toc462414880"/>
      <w:bookmarkStart w:id="481" w:name="_Toc462414269"/>
      <w:bookmarkStart w:id="482" w:name="_Toc462414520"/>
      <w:bookmarkStart w:id="483" w:name="_Toc462414704"/>
      <w:bookmarkStart w:id="484" w:name="_Toc462414881"/>
      <w:bookmarkStart w:id="485" w:name="_Toc462414270"/>
      <w:bookmarkStart w:id="486" w:name="_Toc462414521"/>
      <w:bookmarkStart w:id="487" w:name="_Toc462414705"/>
      <w:bookmarkStart w:id="488" w:name="_Toc462414882"/>
      <w:bookmarkStart w:id="489" w:name="_Toc462414271"/>
      <w:bookmarkStart w:id="490" w:name="_Toc462414522"/>
      <w:bookmarkStart w:id="491" w:name="_Toc462414706"/>
      <w:bookmarkStart w:id="492" w:name="_Toc462414883"/>
      <w:bookmarkStart w:id="493" w:name="_Toc462414272"/>
      <w:bookmarkStart w:id="494" w:name="_Toc462414523"/>
      <w:bookmarkStart w:id="495" w:name="_Toc462414707"/>
      <w:bookmarkStart w:id="496" w:name="_Toc462414884"/>
      <w:bookmarkStart w:id="497" w:name="_Toc462414273"/>
      <w:bookmarkStart w:id="498" w:name="_Toc462414524"/>
      <w:bookmarkStart w:id="499" w:name="_Toc462414708"/>
      <w:bookmarkStart w:id="500" w:name="_Toc462414885"/>
      <w:bookmarkStart w:id="501" w:name="_Toc462414274"/>
      <w:bookmarkStart w:id="502" w:name="_Toc462414525"/>
      <w:bookmarkStart w:id="503" w:name="_Toc462414709"/>
      <w:bookmarkStart w:id="504" w:name="_Toc462414886"/>
      <w:bookmarkStart w:id="505" w:name="_Toc462414275"/>
      <w:bookmarkStart w:id="506" w:name="_Toc462414526"/>
      <w:bookmarkStart w:id="507" w:name="_Toc462414710"/>
      <w:bookmarkStart w:id="508" w:name="_Toc462414887"/>
      <w:bookmarkStart w:id="509" w:name="_Toc462414276"/>
      <w:bookmarkStart w:id="510" w:name="_Toc462414527"/>
      <w:bookmarkStart w:id="511" w:name="_Toc462414711"/>
      <w:bookmarkStart w:id="512" w:name="_Toc462414888"/>
      <w:bookmarkStart w:id="513" w:name="_Toc462414277"/>
      <w:bookmarkStart w:id="514" w:name="_Toc462414528"/>
      <w:bookmarkStart w:id="515" w:name="_Toc462414712"/>
      <w:bookmarkStart w:id="516" w:name="_Toc462414889"/>
      <w:bookmarkStart w:id="517" w:name="_Toc462414278"/>
      <w:bookmarkStart w:id="518" w:name="_Toc462414529"/>
      <w:bookmarkStart w:id="519" w:name="_Toc462414713"/>
      <w:bookmarkStart w:id="520" w:name="_Toc462414890"/>
      <w:bookmarkStart w:id="521" w:name="_Toc462414279"/>
      <w:bookmarkStart w:id="522" w:name="_Toc462414530"/>
      <w:bookmarkStart w:id="523" w:name="_Toc462414714"/>
      <w:bookmarkStart w:id="524" w:name="_Toc462414891"/>
      <w:bookmarkStart w:id="525" w:name="_Toc462414280"/>
      <w:bookmarkStart w:id="526" w:name="_Toc462414531"/>
      <w:bookmarkStart w:id="527" w:name="_Toc462414715"/>
      <w:bookmarkStart w:id="528" w:name="_Toc462414892"/>
      <w:bookmarkStart w:id="529" w:name="_Toc462414281"/>
      <w:bookmarkStart w:id="530" w:name="_Toc462414532"/>
      <w:bookmarkStart w:id="531" w:name="_Toc462414716"/>
      <w:bookmarkStart w:id="532" w:name="_Toc462414893"/>
      <w:bookmarkStart w:id="533" w:name="_Toc462414282"/>
      <w:bookmarkStart w:id="534" w:name="_Toc462414533"/>
      <w:bookmarkStart w:id="535" w:name="_Toc462414717"/>
      <w:bookmarkStart w:id="536" w:name="_Toc462414894"/>
      <w:bookmarkStart w:id="537" w:name="_Toc462414283"/>
      <w:bookmarkStart w:id="538" w:name="_Toc462414534"/>
      <w:bookmarkStart w:id="539" w:name="_Toc462414718"/>
      <w:bookmarkStart w:id="540" w:name="_Toc462414895"/>
      <w:bookmarkStart w:id="541" w:name="_Toc462414284"/>
      <w:bookmarkStart w:id="542" w:name="_Toc462414535"/>
      <w:bookmarkStart w:id="543" w:name="_Toc462414719"/>
      <w:bookmarkStart w:id="544" w:name="_Toc462414896"/>
      <w:bookmarkStart w:id="545" w:name="_Toc462414285"/>
      <w:bookmarkStart w:id="546" w:name="_Toc462414536"/>
      <w:bookmarkStart w:id="547" w:name="_Toc462414720"/>
      <w:bookmarkStart w:id="548" w:name="_Toc462414897"/>
      <w:bookmarkStart w:id="549" w:name="_Toc462414286"/>
      <w:bookmarkStart w:id="550" w:name="_Toc462414537"/>
      <w:bookmarkStart w:id="551" w:name="_Toc462414721"/>
      <w:bookmarkStart w:id="552" w:name="_Toc462414898"/>
      <w:bookmarkStart w:id="553" w:name="_Toc462414287"/>
      <w:bookmarkStart w:id="554" w:name="_Toc462414538"/>
      <w:bookmarkStart w:id="555" w:name="_Toc462414722"/>
      <w:bookmarkStart w:id="556" w:name="_Toc462414899"/>
      <w:bookmarkStart w:id="557" w:name="_Toc462414288"/>
      <w:bookmarkStart w:id="558" w:name="_Toc462414539"/>
      <w:bookmarkStart w:id="559" w:name="_Toc462414723"/>
      <w:bookmarkStart w:id="560" w:name="_Toc462414900"/>
      <w:bookmarkStart w:id="561" w:name="_Toc462414289"/>
      <w:bookmarkStart w:id="562" w:name="_Toc462414540"/>
      <w:bookmarkStart w:id="563" w:name="_Toc462414724"/>
      <w:bookmarkStart w:id="564" w:name="_Toc462414901"/>
      <w:bookmarkStart w:id="565" w:name="_Toc462414290"/>
      <w:bookmarkStart w:id="566" w:name="_Toc462414541"/>
      <w:bookmarkStart w:id="567" w:name="_Toc462414725"/>
      <w:bookmarkStart w:id="568" w:name="_Toc462414902"/>
      <w:bookmarkStart w:id="569" w:name="_Toc462414291"/>
      <w:bookmarkStart w:id="570" w:name="_Toc462414542"/>
      <w:bookmarkStart w:id="571" w:name="_Toc462414726"/>
      <w:bookmarkStart w:id="572" w:name="_Toc462414903"/>
      <w:bookmarkStart w:id="573" w:name="_Toc462414292"/>
      <w:bookmarkStart w:id="574" w:name="_Toc462414543"/>
      <w:bookmarkStart w:id="575" w:name="_Toc462414727"/>
      <w:bookmarkStart w:id="576" w:name="_Toc462414904"/>
      <w:bookmarkStart w:id="577" w:name="_Toc462414293"/>
      <w:bookmarkStart w:id="578" w:name="_Toc462414544"/>
      <w:bookmarkStart w:id="579" w:name="_Toc462414728"/>
      <w:bookmarkStart w:id="580" w:name="_Toc462414905"/>
      <w:bookmarkStart w:id="581" w:name="_Toc462414294"/>
      <w:bookmarkStart w:id="582" w:name="_Toc462414545"/>
      <w:bookmarkStart w:id="583" w:name="_Toc462414729"/>
      <w:bookmarkStart w:id="584" w:name="_Toc462414906"/>
      <w:bookmarkStart w:id="585" w:name="_Toc462414295"/>
      <w:bookmarkStart w:id="586" w:name="_Toc462414546"/>
      <w:bookmarkStart w:id="587" w:name="_Toc462414730"/>
      <w:bookmarkStart w:id="588" w:name="_Toc462414907"/>
      <w:bookmarkStart w:id="589" w:name="_Toc462414296"/>
      <w:bookmarkStart w:id="590" w:name="_Toc462414547"/>
      <w:bookmarkStart w:id="591" w:name="_Toc462414731"/>
      <w:bookmarkStart w:id="592" w:name="_Toc462414908"/>
      <w:bookmarkStart w:id="593" w:name="_Toc462414297"/>
      <w:bookmarkStart w:id="594" w:name="_Toc462414548"/>
      <w:bookmarkStart w:id="595" w:name="_Toc462414732"/>
      <w:bookmarkStart w:id="596" w:name="_Toc462414909"/>
      <w:bookmarkStart w:id="597" w:name="_Toc462414298"/>
      <w:bookmarkStart w:id="598" w:name="_Toc462414549"/>
      <w:bookmarkStart w:id="599" w:name="_Toc462414733"/>
      <w:bookmarkStart w:id="600" w:name="_Toc462414910"/>
      <w:bookmarkStart w:id="601" w:name="_Toc462414299"/>
      <w:bookmarkStart w:id="602" w:name="_Toc462414550"/>
      <w:bookmarkStart w:id="603" w:name="_Toc462414734"/>
      <w:bookmarkStart w:id="604" w:name="_Toc462414911"/>
      <w:bookmarkStart w:id="605" w:name="_Toc462414300"/>
      <w:bookmarkStart w:id="606" w:name="_Toc462414551"/>
      <w:bookmarkStart w:id="607" w:name="_Toc462414735"/>
      <w:bookmarkStart w:id="608" w:name="_Toc462414912"/>
      <w:bookmarkStart w:id="609" w:name="_Toc462414301"/>
      <w:bookmarkStart w:id="610" w:name="_Toc462414552"/>
      <w:bookmarkStart w:id="611" w:name="_Toc462414736"/>
      <w:bookmarkStart w:id="612" w:name="_Toc462414913"/>
      <w:bookmarkStart w:id="613" w:name="_Toc462414302"/>
      <w:bookmarkStart w:id="614" w:name="_Toc462414553"/>
      <w:bookmarkStart w:id="615" w:name="_Toc462414737"/>
      <w:bookmarkStart w:id="616" w:name="_Toc462414914"/>
      <w:bookmarkStart w:id="617" w:name="_Toc505063334"/>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sidRPr="00034A9C">
        <w:rPr>
          <w:rFonts w:ascii="Rockwell" w:hAnsi="Rockwell"/>
          <w:color w:val="auto"/>
          <w:sz w:val="24"/>
          <w:szCs w:val="24"/>
        </w:rPr>
        <w:t xml:space="preserve">Industrie mécanique et </w:t>
      </w:r>
      <w:r w:rsidR="004D51DA">
        <w:rPr>
          <w:rFonts w:ascii="Rockwell" w:hAnsi="Rockwell"/>
          <w:color w:val="auto"/>
          <w:sz w:val="24"/>
          <w:szCs w:val="24"/>
        </w:rPr>
        <w:t>é</w:t>
      </w:r>
      <w:r w:rsidRPr="00034A9C">
        <w:rPr>
          <w:rFonts w:ascii="Rockwell" w:hAnsi="Rockwell"/>
          <w:color w:val="auto"/>
          <w:sz w:val="24"/>
          <w:szCs w:val="24"/>
        </w:rPr>
        <w:t>lectrique/ produits de construction</w:t>
      </w:r>
      <w:bookmarkEnd w:id="617"/>
    </w:p>
    <w:tbl>
      <w:tblPr>
        <w:tblStyle w:val="TableNormal"/>
        <w:tblW w:w="1006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2"/>
        <w:gridCol w:w="3674"/>
        <w:gridCol w:w="4409"/>
      </w:tblGrid>
      <w:tr w:rsidR="008C7F3C" w:rsidRPr="006847BA" w:rsidTr="00B3767C">
        <w:trPr>
          <w:trHeight w:hRule="exact" w:val="751"/>
        </w:trPr>
        <w:tc>
          <w:tcPr>
            <w:tcW w:w="1982" w:type="dxa"/>
            <w:shd w:val="clear" w:color="auto" w:fill="auto"/>
          </w:tcPr>
          <w:p w:rsidR="008C7F3C" w:rsidRPr="0061020E" w:rsidRDefault="008C7F3C" w:rsidP="008F6018">
            <w:pPr>
              <w:pStyle w:val="TableParagraph"/>
              <w:spacing w:after="120"/>
              <w:ind w:right="182"/>
              <w:jc w:val="both"/>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3674" w:type="dxa"/>
            <w:shd w:val="clear" w:color="auto" w:fill="auto"/>
          </w:tcPr>
          <w:p w:rsidR="008C7F3C" w:rsidRPr="0061020E" w:rsidRDefault="008C7F3C" w:rsidP="008F6018">
            <w:pPr>
              <w:pStyle w:val="TableParagraph"/>
              <w:spacing w:after="120"/>
              <w:ind w:right="1478"/>
              <w:jc w:val="both"/>
              <w:rPr>
                <w:rFonts w:ascii="Rockwell" w:eastAsia="Calibri" w:hAnsi="Rockwell" w:cs="Calibri"/>
                <w:sz w:val="24"/>
                <w:szCs w:val="24"/>
                <w:lang w:val="fr-CA"/>
              </w:rPr>
            </w:pPr>
            <w:r w:rsidRPr="0061020E">
              <w:rPr>
                <w:rFonts w:ascii="Rockwell" w:hAnsi="Rockwell"/>
                <w:b/>
                <w:sz w:val="24"/>
                <w:szCs w:val="24"/>
                <w:lang w:val="fr-CA"/>
              </w:rPr>
              <w:t>Intitulé</w:t>
            </w:r>
          </w:p>
        </w:tc>
        <w:tc>
          <w:tcPr>
            <w:tcW w:w="4409" w:type="dxa"/>
            <w:shd w:val="clear" w:color="auto" w:fill="auto"/>
          </w:tcPr>
          <w:p w:rsidR="008C7F3C" w:rsidRPr="0061020E" w:rsidRDefault="008C7F3C" w:rsidP="008F6018">
            <w:pPr>
              <w:pStyle w:val="TableParagraph"/>
              <w:spacing w:after="120"/>
              <w:ind w:right="253"/>
              <w:jc w:val="both"/>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(voir contenu des normes)</w:t>
            </w:r>
          </w:p>
        </w:tc>
      </w:tr>
      <w:tr w:rsidR="008C7F3C" w:rsidRPr="006847BA" w:rsidTr="00B3767C">
        <w:trPr>
          <w:trHeight w:hRule="exact" w:val="1723"/>
        </w:trPr>
        <w:tc>
          <w:tcPr>
            <w:tcW w:w="1982" w:type="dxa"/>
            <w:shd w:val="clear" w:color="auto" w:fill="auto"/>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78" w:right="181"/>
              <w:jc w:val="both"/>
              <w:rPr>
                <w:rFonts w:ascii="Rockwell" w:eastAsia="Calibri" w:hAnsi="Rockwell" w:cs="Calibri"/>
                <w:sz w:val="24"/>
                <w:szCs w:val="24"/>
                <w:lang w:val="fr-CA"/>
              </w:rPr>
            </w:pPr>
            <w:r w:rsidRPr="0061020E">
              <w:rPr>
                <w:rFonts w:ascii="Rockwell" w:hAnsi="Rockwell"/>
                <w:sz w:val="24"/>
                <w:szCs w:val="24"/>
                <w:lang w:val="fr-CA"/>
              </w:rPr>
              <w:t>EN</w:t>
            </w:r>
            <w:r w:rsidRPr="0061020E">
              <w:rPr>
                <w:rFonts w:ascii="Rockwell" w:hAnsi="Rockwell"/>
                <w:spacing w:val="-2"/>
                <w:sz w:val="24"/>
                <w:szCs w:val="24"/>
                <w:lang w:val="fr-CA"/>
              </w:rPr>
              <w:t xml:space="preserve"> </w:t>
            </w:r>
            <w:r w:rsidRPr="0061020E">
              <w:rPr>
                <w:rFonts w:ascii="Rockwell" w:hAnsi="Rockwell"/>
                <w:sz w:val="24"/>
                <w:szCs w:val="24"/>
                <w:lang w:val="fr-CA"/>
              </w:rPr>
              <w:t>60901:1996</w:t>
            </w:r>
          </w:p>
        </w:tc>
        <w:tc>
          <w:tcPr>
            <w:tcW w:w="3674" w:type="dxa"/>
            <w:shd w:val="clear" w:color="auto" w:fill="auto"/>
          </w:tcPr>
          <w:p w:rsidR="008C7F3C" w:rsidRPr="0061020E" w:rsidRDefault="008C7F3C" w:rsidP="004D51DA">
            <w:pPr>
              <w:pStyle w:val="TableParagraph"/>
              <w:spacing w:after="120"/>
              <w:ind w:left="131" w:right="210"/>
              <w:jc w:val="both"/>
              <w:rPr>
                <w:rFonts w:ascii="Rockwell" w:eastAsia="Calibri" w:hAnsi="Rockwell" w:cs="Calibri"/>
                <w:sz w:val="24"/>
                <w:szCs w:val="24"/>
                <w:lang w:val="fr-CA"/>
              </w:rPr>
            </w:pPr>
            <w:r w:rsidRPr="0061020E">
              <w:rPr>
                <w:rFonts w:ascii="Rockwell" w:hAnsi="Rockwell"/>
                <w:sz w:val="24"/>
                <w:szCs w:val="24"/>
                <w:lang w:val="fr-CA"/>
              </w:rPr>
              <w:t>Lampes à fluorescence à culot unique - Prescriptions de performance</w:t>
            </w:r>
          </w:p>
        </w:tc>
        <w:tc>
          <w:tcPr>
            <w:tcW w:w="4409" w:type="dxa"/>
            <w:shd w:val="clear" w:color="auto" w:fill="auto"/>
          </w:tcPr>
          <w:p w:rsidR="008C7F3C" w:rsidRPr="0061020E" w:rsidRDefault="008C7F3C" w:rsidP="008F6018">
            <w:pPr>
              <w:pStyle w:val="TableParagraph"/>
              <w:numPr>
                <w:ilvl w:val="0"/>
                <w:numId w:val="42"/>
              </w:numPr>
              <w:tabs>
                <w:tab w:val="left" w:pos="321"/>
              </w:tabs>
              <w:spacing w:after="120"/>
              <w:ind w:hanging="254"/>
              <w:jc w:val="both"/>
              <w:rPr>
                <w:rFonts w:ascii="Rockwell" w:eastAsia="Calibri" w:hAnsi="Rockwell" w:cs="Calibri"/>
                <w:sz w:val="24"/>
                <w:szCs w:val="24"/>
                <w:lang w:val="fr-CA"/>
              </w:rPr>
            </w:pPr>
            <w:r w:rsidRPr="0061020E">
              <w:rPr>
                <w:rFonts w:ascii="Rockwell" w:eastAsia="Calibri" w:hAnsi="Rockwell" w:cs="Calibri"/>
                <w:sz w:val="24"/>
                <w:szCs w:val="24"/>
                <w:lang w:val="fr-CA"/>
              </w:rPr>
              <w:t>Caractéristiques</w:t>
            </w:r>
            <w:r w:rsidRPr="0061020E">
              <w:rPr>
                <w:rFonts w:ascii="Rockwell" w:eastAsia="Calibri" w:hAnsi="Rockwell" w:cs="Calibri"/>
                <w:spacing w:val="-10"/>
                <w:sz w:val="24"/>
                <w:szCs w:val="24"/>
                <w:lang w:val="fr-CA"/>
              </w:rPr>
              <w:t xml:space="preserve"> </w:t>
            </w:r>
            <w:r w:rsidRPr="0061020E">
              <w:rPr>
                <w:rFonts w:ascii="Rockwell" w:eastAsia="Calibri" w:hAnsi="Rockwell" w:cs="Calibri"/>
                <w:sz w:val="24"/>
                <w:szCs w:val="24"/>
                <w:lang w:val="fr-CA"/>
              </w:rPr>
              <w:t>d’amorçage</w:t>
            </w:r>
          </w:p>
          <w:p w:rsidR="008C7F3C" w:rsidRPr="00D023E1" w:rsidRDefault="008C7F3C" w:rsidP="008F6018">
            <w:pPr>
              <w:pStyle w:val="TableParagraph"/>
              <w:numPr>
                <w:ilvl w:val="0"/>
                <w:numId w:val="42"/>
              </w:numPr>
              <w:tabs>
                <w:tab w:val="left" w:pos="321"/>
              </w:tabs>
              <w:spacing w:after="120"/>
              <w:ind w:right="1180" w:hanging="254"/>
              <w:jc w:val="both"/>
              <w:rPr>
                <w:rFonts w:ascii="Rockwell" w:eastAsia="Calibri" w:hAnsi="Rockwell" w:cs="Calibri"/>
                <w:sz w:val="24"/>
                <w:szCs w:val="24"/>
                <w:lang w:val="fr-CA"/>
              </w:rPr>
            </w:pPr>
            <w:r w:rsidRPr="0061020E">
              <w:rPr>
                <w:rFonts w:ascii="Rockwell" w:hAnsi="Rockwell"/>
                <w:sz w:val="24"/>
                <w:szCs w:val="24"/>
                <w:lang w:val="fr-CA"/>
              </w:rPr>
              <w:t>Caractéristiques électriques, photométrique et de</w:t>
            </w:r>
            <w:r w:rsidRPr="0061020E">
              <w:rPr>
                <w:rFonts w:ascii="Rockwell" w:hAnsi="Rockwell"/>
                <w:spacing w:val="-12"/>
                <w:sz w:val="24"/>
                <w:szCs w:val="24"/>
                <w:lang w:val="fr-CA"/>
              </w:rPr>
              <w:t xml:space="preserve"> </w:t>
            </w:r>
            <w:r w:rsidRPr="0061020E">
              <w:rPr>
                <w:rFonts w:ascii="Rockwell" w:hAnsi="Rockwell"/>
                <w:sz w:val="24"/>
                <w:szCs w:val="24"/>
                <w:lang w:val="fr-CA"/>
              </w:rPr>
              <w:t>cathodes</w:t>
            </w:r>
          </w:p>
          <w:p w:rsidR="00D023E1" w:rsidRDefault="00D023E1" w:rsidP="00D023E1">
            <w:pPr>
              <w:pStyle w:val="TableParagraph"/>
              <w:tabs>
                <w:tab w:val="left" w:pos="321"/>
              </w:tabs>
              <w:spacing w:after="120"/>
              <w:ind w:right="1180"/>
              <w:jc w:val="both"/>
              <w:rPr>
                <w:rFonts w:ascii="Rockwell" w:hAnsi="Rockwell"/>
                <w:sz w:val="24"/>
                <w:szCs w:val="24"/>
                <w:lang w:val="fr-CA"/>
              </w:rPr>
            </w:pPr>
          </w:p>
          <w:p w:rsidR="00D023E1" w:rsidRDefault="00D023E1" w:rsidP="00D023E1">
            <w:pPr>
              <w:pStyle w:val="TableParagraph"/>
              <w:tabs>
                <w:tab w:val="left" w:pos="321"/>
              </w:tabs>
              <w:spacing w:after="120"/>
              <w:ind w:right="1180"/>
              <w:jc w:val="both"/>
              <w:rPr>
                <w:rFonts w:ascii="Rockwell" w:hAnsi="Rockwell"/>
                <w:sz w:val="24"/>
                <w:szCs w:val="24"/>
                <w:lang w:val="fr-CA"/>
              </w:rPr>
            </w:pPr>
          </w:p>
          <w:p w:rsidR="00D023E1" w:rsidRDefault="00D023E1" w:rsidP="00D023E1">
            <w:pPr>
              <w:pStyle w:val="TableParagraph"/>
              <w:tabs>
                <w:tab w:val="left" w:pos="321"/>
              </w:tabs>
              <w:spacing w:after="120"/>
              <w:ind w:right="1180"/>
              <w:jc w:val="both"/>
              <w:rPr>
                <w:rFonts w:ascii="Rockwell" w:hAnsi="Rockwell"/>
                <w:sz w:val="24"/>
                <w:szCs w:val="24"/>
                <w:lang w:val="fr-CA"/>
              </w:rPr>
            </w:pPr>
          </w:p>
          <w:p w:rsidR="00D023E1" w:rsidRPr="0061020E" w:rsidRDefault="00D023E1" w:rsidP="00D023E1">
            <w:pPr>
              <w:pStyle w:val="TableParagraph"/>
              <w:tabs>
                <w:tab w:val="left" w:pos="321"/>
              </w:tabs>
              <w:spacing w:after="120"/>
              <w:ind w:right="1180"/>
              <w:jc w:val="both"/>
              <w:rPr>
                <w:rFonts w:ascii="Rockwell" w:eastAsia="Calibri" w:hAnsi="Rockwell" w:cs="Calibri"/>
                <w:sz w:val="24"/>
                <w:szCs w:val="24"/>
                <w:lang w:val="fr-CA"/>
              </w:rPr>
            </w:pPr>
          </w:p>
        </w:tc>
      </w:tr>
      <w:tr w:rsidR="008C7F3C" w:rsidRPr="006847BA" w:rsidTr="00B3767C">
        <w:trPr>
          <w:trHeight w:hRule="exact" w:val="1694"/>
        </w:trPr>
        <w:tc>
          <w:tcPr>
            <w:tcW w:w="1982" w:type="dxa"/>
            <w:shd w:val="clear" w:color="auto" w:fill="auto"/>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ind w:left="178" w:right="182"/>
              <w:jc w:val="both"/>
              <w:rPr>
                <w:rFonts w:ascii="Rockwell" w:eastAsia="Calibri" w:hAnsi="Rockwell" w:cs="Calibri"/>
                <w:sz w:val="24"/>
                <w:szCs w:val="24"/>
                <w:lang w:val="fr-CA"/>
              </w:rPr>
            </w:pPr>
            <w:r w:rsidRPr="0061020E">
              <w:rPr>
                <w:rFonts w:ascii="Rockwell" w:hAnsi="Rockwell"/>
                <w:sz w:val="24"/>
                <w:szCs w:val="24"/>
                <w:lang w:val="fr-CA"/>
              </w:rPr>
              <w:t>ISO</w:t>
            </w:r>
            <w:r w:rsidRPr="0061020E">
              <w:rPr>
                <w:rFonts w:ascii="Rockwell" w:hAnsi="Rockwell"/>
                <w:spacing w:val="-2"/>
                <w:sz w:val="24"/>
                <w:szCs w:val="24"/>
                <w:lang w:val="fr-CA"/>
              </w:rPr>
              <w:t xml:space="preserve"> </w:t>
            </w:r>
            <w:r w:rsidRPr="0061020E">
              <w:rPr>
                <w:rFonts w:ascii="Rockwell" w:hAnsi="Rockwell"/>
                <w:sz w:val="24"/>
                <w:szCs w:val="24"/>
                <w:lang w:val="fr-CA"/>
              </w:rPr>
              <w:t>7165:1999</w:t>
            </w:r>
          </w:p>
        </w:tc>
        <w:tc>
          <w:tcPr>
            <w:tcW w:w="3674" w:type="dxa"/>
            <w:shd w:val="clear" w:color="auto" w:fill="auto"/>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4D51DA">
            <w:pPr>
              <w:pStyle w:val="TableParagraph"/>
              <w:spacing w:after="120"/>
              <w:ind w:left="131" w:right="210"/>
              <w:jc w:val="both"/>
              <w:rPr>
                <w:rFonts w:ascii="Rockwell" w:eastAsia="Calibri" w:hAnsi="Rockwell" w:cs="Calibri"/>
                <w:sz w:val="24"/>
                <w:szCs w:val="24"/>
                <w:lang w:val="fr-CA"/>
              </w:rPr>
            </w:pPr>
            <w:r w:rsidRPr="0061020E">
              <w:rPr>
                <w:rFonts w:ascii="Rockwell" w:hAnsi="Rockwell"/>
                <w:sz w:val="24"/>
                <w:szCs w:val="24"/>
                <w:lang w:val="fr-CA"/>
              </w:rPr>
              <w:t>Lutte contre l'incendie - extincteurs portatifs - performance et</w:t>
            </w:r>
            <w:r w:rsidRPr="0061020E">
              <w:rPr>
                <w:rFonts w:ascii="Rockwell" w:hAnsi="Rockwell"/>
                <w:spacing w:val="-9"/>
                <w:sz w:val="24"/>
                <w:szCs w:val="24"/>
                <w:lang w:val="fr-CA"/>
              </w:rPr>
              <w:t xml:space="preserve"> </w:t>
            </w:r>
            <w:r w:rsidRPr="0061020E">
              <w:rPr>
                <w:rFonts w:ascii="Rockwell" w:hAnsi="Rockwell"/>
                <w:sz w:val="24"/>
                <w:szCs w:val="24"/>
                <w:lang w:val="fr-CA"/>
              </w:rPr>
              <w:t>construction</w:t>
            </w:r>
          </w:p>
        </w:tc>
        <w:tc>
          <w:tcPr>
            <w:tcW w:w="4409" w:type="dxa"/>
            <w:shd w:val="clear" w:color="auto" w:fill="auto"/>
          </w:tcPr>
          <w:p w:rsidR="008C7F3C" w:rsidRPr="0061020E" w:rsidRDefault="008C7F3C" w:rsidP="008F6018">
            <w:pPr>
              <w:pStyle w:val="TableParagraph"/>
              <w:numPr>
                <w:ilvl w:val="0"/>
                <w:numId w:val="41"/>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Classification</w:t>
            </w:r>
          </w:p>
          <w:p w:rsidR="008C7F3C" w:rsidRPr="0061020E" w:rsidRDefault="008C7F3C" w:rsidP="008F6018">
            <w:pPr>
              <w:pStyle w:val="TableParagraph"/>
              <w:numPr>
                <w:ilvl w:val="0"/>
                <w:numId w:val="41"/>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Exigences sur les agents</w:t>
            </w:r>
            <w:r w:rsidRPr="0061020E">
              <w:rPr>
                <w:rFonts w:ascii="Rockwell" w:hAnsi="Rockwell"/>
                <w:spacing w:val="-18"/>
                <w:sz w:val="24"/>
                <w:szCs w:val="24"/>
                <w:lang w:val="fr-CA"/>
              </w:rPr>
              <w:t xml:space="preserve"> </w:t>
            </w:r>
            <w:r w:rsidRPr="0061020E">
              <w:rPr>
                <w:rFonts w:ascii="Rockwell" w:hAnsi="Rockwell"/>
                <w:sz w:val="24"/>
                <w:szCs w:val="24"/>
                <w:lang w:val="fr-CA"/>
              </w:rPr>
              <w:t>extincteurs</w:t>
            </w:r>
          </w:p>
          <w:p w:rsidR="008C7F3C" w:rsidRPr="0061020E" w:rsidRDefault="008C7F3C" w:rsidP="008F6018">
            <w:pPr>
              <w:pStyle w:val="TableParagraph"/>
              <w:numPr>
                <w:ilvl w:val="0"/>
                <w:numId w:val="41"/>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Exigences sur les</w:t>
            </w:r>
            <w:r w:rsidRPr="0061020E">
              <w:rPr>
                <w:rFonts w:ascii="Rockwell" w:hAnsi="Rockwell"/>
                <w:spacing w:val="-14"/>
                <w:sz w:val="24"/>
                <w:szCs w:val="24"/>
                <w:lang w:val="fr-CA"/>
              </w:rPr>
              <w:t xml:space="preserve"> </w:t>
            </w:r>
            <w:r w:rsidRPr="0061020E">
              <w:rPr>
                <w:rFonts w:ascii="Rockwell" w:hAnsi="Rockwell"/>
                <w:sz w:val="24"/>
                <w:szCs w:val="24"/>
                <w:lang w:val="fr-CA"/>
              </w:rPr>
              <w:t>propulseurs</w:t>
            </w:r>
          </w:p>
          <w:p w:rsidR="008C7F3C" w:rsidRPr="00D023E1" w:rsidRDefault="008C7F3C" w:rsidP="008F6018">
            <w:pPr>
              <w:pStyle w:val="TableParagraph"/>
              <w:numPr>
                <w:ilvl w:val="0"/>
                <w:numId w:val="41"/>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Exigences de</w:t>
            </w:r>
            <w:r w:rsidRPr="0061020E">
              <w:rPr>
                <w:rFonts w:ascii="Rockwell" w:hAnsi="Rockwell"/>
                <w:spacing w:val="-13"/>
                <w:sz w:val="24"/>
                <w:szCs w:val="24"/>
                <w:lang w:val="fr-CA"/>
              </w:rPr>
              <w:t xml:space="preserve"> </w:t>
            </w:r>
            <w:r w:rsidRPr="0061020E">
              <w:rPr>
                <w:rFonts w:ascii="Rockwell" w:hAnsi="Rockwell"/>
                <w:sz w:val="24"/>
                <w:szCs w:val="24"/>
                <w:lang w:val="fr-CA"/>
              </w:rPr>
              <w:t>remplissage</w:t>
            </w:r>
          </w:p>
          <w:p w:rsidR="00D023E1" w:rsidRPr="0061020E" w:rsidRDefault="00D023E1" w:rsidP="00D023E1">
            <w:pPr>
              <w:pStyle w:val="TableParagraph"/>
              <w:tabs>
                <w:tab w:val="left" w:pos="321"/>
              </w:tabs>
              <w:spacing w:after="120"/>
              <w:jc w:val="both"/>
              <w:rPr>
                <w:rFonts w:ascii="Rockwell" w:eastAsia="Calibri" w:hAnsi="Rockwell" w:cs="Calibri"/>
                <w:sz w:val="24"/>
                <w:szCs w:val="24"/>
                <w:lang w:val="fr-CA"/>
              </w:rPr>
            </w:pPr>
          </w:p>
        </w:tc>
      </w:tr>
      <w:tr w:rsidR="008C7F3C" w:rsidRPr="006847BA" w:rsidTr="00034A9C">
        <w:trPr>
          <w:trHeight w:hRule="exact" w:val="2151"/>
        </w:trPr>
        <w:tc>
          <w:tcPr>
            <w:tcW w:w="1982" w:type="dxa"/>
            <w:shd w:val="clear" w:color="auto" w:fill="auto"/>
          </w:tcPr>
          <w:p w:rsidR="008C7F3C" w:rsidRPr="00B843D8" w:rsidRDefault="008C7F3C" w:rsidP="008F6018">
            <w:pPr>
              <w:pStyle w:val="TableParagraph"/>
              <w:spacing w:after="120"/>
              <w:jc w:val="both"/>
              <w:rPr>
                <w:rFonts w:ascii="Rockwell" w:eastAsia="Calibri" w:hAnsi="Rockwell" w:cs="Calibri"/>
                <w:b/>
                <w:bCs/>
                <w:sz w:val="24"/>
                <w:szCs w:val="24"/>
                <w:lang w:val="fr-FR"/>
              </w:rPr>
            </w:pPr>
          </w:p>
          <w:p w:rsidR="008C7F3C" w:rsidRPr="0061020E" w:rsidRDefault="008C7F3C" w:rsidP="008F6018">
            <w:pPr>
              <w:pStyle w:val="TableParagraph"/>
              <w:spacing w:after="120"/>
              <w:ind w:left="718" w:right="159" w:hanging="339"/>
              <w:jc w:val="both"/>
              <w:rPr>
                <w:rFonts w:ascii="Rockwell" w:eastAsia="Calibri" w:hAnsi="Rockwell" w:cs="Calibri"/>
                <w:sz w:val="24"/>
                <w:szCs w:val="24"/>
                <w:lang w:val="fr-CA"/>
              </w:rPr>
            </w:pPr>
            <w:r w:rsidRPr="0061020E">
              <w:rPr>
                <w:rFonts w:ascii="Rockwell" w:hAnsi="Rockwell"/>
                <w:sz w:val="24"/>
                <w:szCs w:val="24"/>
                <w:lang w:val="fr-CA"/>
              </w:rPr>
              <w:t>EN1340:2003 + AC</w:t>
            </w:r>
            <w:r w:rsidRPr="0061020E">
              <w:rPr>
                <w:rFonts w:ascii="Rockwell" w:hAnsi="Rockwell"/>
                <w:spacing w:val="1"/>
                <w:sz w:val="24"/>
                <w:szCs w:val="24"/>
                <w:lang w:val="fr-CA"/>
              </w:rPr>
              <w:t xml:space="preserve"> </w:t>
            </w:r>
            <w:r w:rsidRPr="0061020E">
              <w:rPr>
                <w:rFonts w:ascii="Rockwell" w:hAnsi="Rockwell"/>
                <w:sz w:val="24"/>
                <w:szCs w:val="24"/>
                <w:lang w:val="fr-CA"/>
              </w:rPr>
              <w:t>2006</w:t>
            </w:r>
          </w:p>
        </w:tc>
        <w:tc>
          <w:tcPr>
            <w:tcW w:w="3674" w:type="dxa"/>
            <w:shd w:val="clear" w:color="auto" w:fill="auto"/>
          </w:tcPr>
          <w:p w:rsidR="008C7F3C" w:rsidRPr="0061020E" w:rsidRDefault="008C7F3C" w:rsidP="008F6018">
            <w:pPr>
              <w:pStyle w:val="TableParagraph"/>
              <w:spacing w:after="120"/>
              <w:ind w:left="131" w:right="210"/>
              <w:jc w:val="both"/>
              <w:rPr>
                <w:rFonts w:ascii="Rockwell" w:eastAsia="Calibri" w:hAnsi="Rockwell" w:cs="Calibri"/>
                <w:sz w:val="24"/>
                <w:szCs w:val="24"/>
                <w:lang w:val="fr-CA"/>
              </w:rPr>
            </w:pPr>
            <w:r w:rsidRPr="0061020E">
              <w:rPr>
                <w:rFonts w:ascii="Rockwell" w:eastAsia="Calibri" w:hAnsi="Rockwell" w:cs="Calibri"/>
                <w:sz w:val="24"/>
                <w:szCs w:val="24"/>
                <w:lang w:val="fr-CA"/>
              </w:rPr>
              <w:t>Éléments pour bordure de trottoir en béton: prescriptions et méthodes</w:t>
            </w:r>
            <w:r w:rsidRPr="0061020E">
              <w:rPr>
                <w:rFonts w:ascii="Rockwell" w:eastAsia="Calibri" w:hAnsi="Rockwell" w:cs="Calibri"/>
                <w:spacing w:val="-3"/>
                <w:sz w:val="24"/>
                <w:szCs w:val="24"/>
                <w:lang w:val="fr-CA"/>
              </w:rPr>
              <w:t xml:space="preserve"> </w:t>
            </w:r>
            <w:r w:rsidRPr="0061020E">
              <w:rPr>
                <w:rFonts w:ascii="Rockwell" w:eastAsia="Calibri" w:hAnsi="Rockwell" w:cs="Calibri"/>
                <w:sz w:val="24"/>
                <w:szCs w:val="24"/>
                <w:lang w:val="fr-CA"/>
              </w:rPr>
              <w:t>d’essai</w:t>
            </w:r>
          </w:p>
        </w:tc>
        <w:tc>
          <w:tcPr>
            <w:tcW w:w="4409" w:type="dxa"/>
            <w:shd w:val="clear" w:color="auto" w:fill="auto"/>
          </w:tcPr>
          <w:p w:rsidR="008C7F3C" w:rsidRPr="0061020E" w:rsidRDefault="008C7F3C" w:rsidP="008F6018">
            <w:pPr>
              <w:pStyle w:val="TableParagraph"/>
              <w:numPr>
                <w:ilvl w:val="0"/>
                <w:numId w:val="40"/>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Résistance aux agressions</w:t>
            </w:r>
            <w:r w:rsidRPr="0061020E">
              <w:rPr>
                <w:rFonts w:ascii="Rockwell" w:hAnsi="Rockwell"/>
                <w:spacing w:val="-10"/>
                <w:sz w:val="24"/>
                <w:szCs w:val="24"/>
                <w:lang w:val="fr-CA"/>
              </w:rPr>
              <w:t xml:space="preserve"> </w:t>
            </w:r>
            <w:r w:rsidRPr="0061020E">
              <w:rPr>
                <w:rFonts w:ascii="Rockwell" w:hAnsi="Rockwell"/>
                <w:sz w:val="24"/>
                <w:szCs w:val="24"/>
                <w:lang w:val="fr-CA"/>
              </w:rPr>
              <w:t>climatiques</w:t>
            </w:r>
          </w:p>
          <w:p w:rsidR="008C7F3C" w:rsidRPr="0061020E" w:rsidRDefault="008C7F3C" w:rsidP="008F6018">
            <w:pPr>
              <w:pStyle w:val="TableParagraph"/>
              <w:numPr>
                <w:ilvl w:val="0"/>
                <w:numId w:val="40"/>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Résistance à la</w:t>
            </w:r>
            <w:r w:rsidRPr="0061020E">
              <w:rPr>
                <w:rFonts w:ascii="Rockwell" w:hAnsi="Rockwell"/>
                <w:spacing w:val="-4"/>
                <w:sz w:val="24"/>
                <w:szCs w:val="24"/>
                <w:lang w:val="fr-CA"/>
              </w:rPr>
              <w:t xml:space="preserve"> </w:t>
            </w:r>
            <w:r w:rsidRPr="0061020E">
              <w:rPr>
                <w:rFonts w:ascii="Rockwell" w:hAnsi="Rockwell"/>
                <w:sz w:val="24"/>
                <w:szCs w:val="24"/>
                <w:lang w:val="fr-CA"/>
              </w:rPr>
              <w:t>flexion</w:t>
            </w:r>
          </w:p>
          <w:p w:rsidR="008C7F3C" w:rsidRPr="0061020E" w:rsidRDefault="008C7F3C" w:rsidP="008F6018">
            <w:pPr>
              <w:pStyle w:val="TableParagraph"/>
              <w:numPr>
                <w:ilvl w:val="0"/>
                <w:numId w:val="40"/>
              </w:numPr>
              <w:tabs>
                <w:tab w:val="left" w:pos="321"/>
              </w:tabs>
              <w:spacing w:after="120"/>
              <w:ind w:hanging="254"/>
              <w:jc w:val="both"/>
              <w:rPr>
                <w:rFonts w:ascii="Rockwell" w:eastAsia="Calibri" w:hAnsi="Rockwell" w:cs="Calibri"/>
                <w:sz w:val="24"/>
                <w:szCs w:val="24"/>
                <w:lang w:val="fr-CA"/>
              </w:rPr>
            </w:pPr>
            <w:r w:rsidRPr="0061020E">
              <w:rPr>
                <w:rFonts w:ascii="Rockwell" w:eastAsia="Calibri" w:hAnsi="Rockwell" w:cs="Calibri"/>
                <w:sz w:val="24"/>
                <w:szCs w:val="24"/>
                <w:lang w:val="fr-CA"/>
              </w:rPr>
              <w:t>Résistance à</w:t>
            </w:r>
            <w:r w:rsidRPr="0061020E">
              <w:rPr>
                <w:rFonts w:ascii="Rockwell" w:eastAsia="Calibri" w:hAnsi="Rockwell" w:cs="Calibri"/>
                <w:spacing w:val="-4"/>
                <w:sz w:val="24"/>
                <w:szCs w:val="24"/>
                <w:lang w:val="fr-CA"/>
              </w:rPr>
              <w:t xml:space="preserve"> </w:t>
            </w:r>
            <w:r w:rsidRPr="0061020E">
              <w:rPr>
                <w:rFonts w:ascii="Rockwell" w:eastAsia="Calibri" w:hAnsi="Rockwell" w:cs="Calibri"/>
                <w:sz w:val="24"/>
                <w:szCs w:val="24"/>
                <w:lang w:val="fr-CA"/>
              </w:rPr>
              <w:t>l’abrasion</w:t>
            </w:r>
          </w:p>
          <w:p w:rsidR="008C7F3C" w:rsidRPr="0061020E" w:rsidRDefault="008C7F3C" w:rsidP="008F6018">
            <w:pPr>
              <w:pStyle w:val="TableParagraph"/>
              <w:numPr>
                <w:ilvl w:val="0"/>
                <w:numId w:val="40"/>
              </w:numPr>
              <w:tabs>
                <w:tab w:val="left" w:pos="321"/>
              </w:tabs>
              <w:spacing w:after="120"/>
              <w:ind w:hanging="254"/>
              <w:jc w:val="both"/>
              <w:rPr>
                <w:rFonts w:ascii="Rockwell" w:eastAsia="Calibri" w:hAnsi="Rockwell" w:cs="Calibri"/>
                <w:sz w:val="24"/>
                <w:szCs w:val="24"/>
                <w:lang w:val="fr-CA"/>
              </w:rPr>
            </w:pPr>
            <w:r w:rsidRPr="0061020E">
              <w:rPr>
                <w:rFonts w:ascii="Rockwell" w:hAnsi="Rockwell"/>
                <w:sz w:val="24"/>
                <w:szCs w:val="24"/>
                <w:lang w:val="fr-CA"/>
              </w:rPr>
              <w:t>Résistance à la glissance et au</w:t>
            </w:r>
            <w:r w:rsidRPr="0061020E">
              <w:rPr>
                <w:rFonts w:ascii="Rockwell" w:hAnsi="Rockwell"/>
                <w:spacing w:val="-12"/>
                <w:sz w:val="24"/>
                <w:szCs w:val="24"/>
                <w:lang w:val="fr-CA"/>
              </w:rPr>
              <w:t xml:space="preserve"> </w:t>
            </w:r>
            <w:r w:rsidRPr="0061020E">
              <w:rPr>
                <w:rFonts w:ascii="Rockwell" w:hAnsi="Rockwell"/>
                <w:sz w:val="24"/>
                <w:szCs w:val="24"/>
                <w:lang w:val="fr-CA"/>
              </w:rPr>
              <w:t>dérapage</w:t>
            </w:r>
          </w:p>
        </w:tc>
      </w:tr>
      <w:tr w:rsidR="008C7F3C" w:rsidRPr="006847BA" w:rsidTr="00034A9C">
        <w:trPr>
          <w:trHeight w:hRule="exact" w:val="992"/>
        </w:trPr>
        <w:tc>
          <w:tcPr>
            <w:tcW w:w="1982" w:type="dxa"/>
            <w:shd w:val="clear" w:color="auto" w:fill="auto"/>
          </w:tcPr>
          <w:p w:rsidR="00034A9C" w:rsidRDefault="00034A9C" w:rsidP="008F6018">
            <w:pPr>
              <w:pStyle w:val="TableParagraph"/>
              <w:spacing w:after="120"/>
              <w:ind w:left="177" w:right="182"/>
              <w:jc w:val="both"/>
              <w:rPr>
                <w:rFonts w:ascii="Rockwell" w:hAnsi="Rockwell"/>
                <w:sz w:val="24"/>
                <w:szCs w:val="24"/>
                <w:lang w:val="fr-CA"/>
              </w:rPr>
            </w:pPr>
          </w:p>
          <w:p w:rsidR="008C7F3C" w:rsidRPr="0061020E" w:rsidRDefault="008C7F3C" w:rsidP="008F6018">
            <w:pPr>
              <w:pStyle w:val="TableParagraph"/>
              <w:spacing w:after="120"/>
              <w:ind w:left="177" w:right="182"/>
              <w:jc w:val="both"/>
              <w:rPr>
                <w:rFonts w:ascii="Rockwell" w:eastAsia="Calibri" w:hAnsi="Rockwell" w:cs="Calibri"/>
                <w:sz w:val="24"/>
                <w:szCs w:val="24"/>
                <w:lang w:val="fr-CA"/>
              </w:rPr>
            </w:pPr>
            <w:r w:rsidRPr="0061020E">
              <w:rPr>
                <w:rFonts w:ascii="Rockwell" w:hAnsi="Rockwell"/>
                <w:sz w:val="24"/>
                <w:szCs w:val="24"/>
                <w:lang w:val="fr-CA"/>
              </w:rPr>
              <w:t>EN</w:t>
            </w:r>
            <w:r w:rsidRPr="0061020E">
              <w:rPr>
                <w:rFonts w:ascii="Rockwell" w:hAnsi="Rockwell"/>
                <w:spacing w:val="-3"/>
                <w:sz w:val="24"/>
                <w:szCs w:val="24"/>
                <w:lang w:val="fr-CA"/>
              </w:rPr>
              <w:t xml:space="preserve"> </w:t>
            </w:r>
            <w:r w:rsidRPr="0061020E">
              <w:rPr>
                <w:rFonts w:ascii="Rockwell" w:hAnsi="Rockwell"/>
                <w:sz w:val="24"/>
                <w:szCs w:val="24"/>
                <w:lang w:val="fr-CA"/>
              </w:rPr>
              <w:t>1338:2003</w:t>
            </w:r>
          </w:p>
        </w:tc>
        <w:tc>
          <w:tcPr>
            <w:tcW w:w="3674" w:type="dxa"/>
            <w:shd w:val="clear" w:color="auto" w:fill="auto"/>
          </w:tcPr>
          <w:p w:rsidR="008C7F3C" w:rsidRPr="0061020E" w:rsidRDefault="008C7F3C" w:rsidP="008F6018">
            <w:pPr>
              <w:pStyle w:val="TableParagraph"/>
              <w:spacing w:after="120"/>
              <w:ind w:left="131" w:right="210"/>
              <w:jc w:val="both"/>
              <w:rPr>
                <w:rFonts w:ascii="Rockwell" w:eastAsia="Calibri" w:hAnsi="Rockwell" w:cs="Calibri"/>
                <w:sz w:val="24"/>
                <w:szCs w:val="24"/>
                <w:lang w:val="fr-CA"/>
              </w:rPr>
            </w:pPr>
            <w:r w:rsidRPr="0061020E">
              <w:rPr>
                <w:rFonts w:ascii="Rockwell" w:eastAsia="Calibri" w:hAnsi="Rockwell" w:cs="Calibri"/>
                <w:sz w:val="24"/>
                <w:szCs w:val="24"/>
                <w:lang w:val="fr-CA"/>
              </w:rPr>
              <w:t>Pavés en béton: prescriptions et méthodes</w:t>
            </w:r>
            <w:r w:rsidRPr="0061020E">
              <w:rPr>
                <w:rFonts w:ascii="Rockwell" w:eastAsia="Calibri" w:hAnsi="Rockwell" w:cs="Calibri"/>
                <w:spacing w:val="-3"/>
                <w:sz w:val="24"/>
                <w:szCs w:val="24"/>
                <w:lang w:val="fr-CA"/>
              </w:rPr>
              <w:t xml:space="preserve"> </w:t>
            </w:r>
            <w:r w:rsidRPr="0061020E">
              <w:rPr>
                <w:rFonts w:ascii="Rockwell" w:eastAsia="Calibri" w:hAnsi="Rockwell" w:cs="Calibri"/>
                <w:sz w:val="24"/>
                <w:szCs w:val="24"/>
                <w:lang w:val="fr-CA"/>
              </w:rPr>
              <w:t>d’essai</w:t>
            </w:r>
          </w:p>
        </w:tc>
        <w:tc>
          <w:tcPr>
            <w:tcW w:w="4409" w:type="dxa"/>
            <w:shd w:val="clear" w:color="auto" w:fill="auto"/>
          </w:tcPr>
          <w:p w:rsidR="008C7F3C" w:rsidRPr="0061020E" w:rsidRDefault="008C7F3C" w:rsidP="008F6018">
            <w:pPr>
              <w:pStyle w:val="TableParagraph"/>
              <w:spacing w:after="120"/>
              <w:ind w:left="320" w:right="253" w:hanging="255"/>
              <w:jc w:val="both"/>
              <w:rPr>
                <w:rFonts w:ascii="Rockwell" w:eastAsia="Calibri" w:hAnsi="Rockwell" w:cs="Calibri"/>
                <w:sz w:val="24"/>
                <w:szCs w:val="24"/>
                <w:lang w:val="fr-CA"/>
              </w:rPr>
            </w:pPr>
            <w:r w:rsidRPr="0061020E">
              <w:rPr>
                <w:rFonts w:ascii="Rockwell" w:hAnsi="Rockwell"/>
                <w:sz w:val="24"/>
                <w:szCs w:val="24"/>
                <w:lang w:val="fr-CA"/>
              </w:rPr>
              <w:t>- Caractéristiques géométriques, physiques, mécaniques et</w:t>
            </w:r>
            <w:r w:rsidRPr="0061020E">
              <w:rPr>
                <w:rFonts w:ascii="Rockwell" w:hAnsi="Rockwell"/>
                <w:spacing w:val="-12"/>
                <w:sz w:val="24"/>
                <w:szCs w:val="24"/>
                <w:lang w:val="fr-CA"/>
              </w:rPr>
              <w:t xml:space="preserve"> </w:t>
            </w:r>
            <w:r w:rsidRPr="0061020E">
              <w:rPr>
                <w:rFonts w:ascii="Rockwell" w:hAnsi="Rockwell"/>
                <w:sz w:val="24"/>
                <w:szCs w:val="24"/>
                <w:lang w:val="fr-CA"/>
              </w:rPr>
              <w:t>visuelles</w:t>
            </w:r>
          </w:p>
        </w:tc>
      </w:tr>
    </w:tbl>
    <w:p w:rsidR="008C7F3C" w:rsidRDefault="008C7F3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91225C" w:rsidRDefault="0091225C" w:rsidP="008F6018">
      <w:pPr>
        <w:spacing w:after="120" w:line="240" w:lineRule="auto"/>
        <w:jc w:val="both"/>
        <w:rPr>
          <w:rFonts w:ascii="Rockwell" w:hAnsi="Rockwell"/>
          <w:sz w:val="24"/>
          <w:szCs w:val="24"/>
          <w:lang w:val="fr-CA"/>
        </w:rPr>
      </w:pPr>
    </w:p>
    <w:p w:rsidR="008C7F3C" w:rsidRDefault="008C7F3C" w:rsidP="008F6018">
      <w:pPr>
        <w:pStyle w:val="Titre3"/>
        <w:numPr>
          <w:ilvl w:val="0"/>
          <w:numId w:val="104"/>
        </w:numPr>
        <w:spacing w:before="0" w:after="120" w:line="240" w:lineRule="auto"/>
        <w:jc w:val="both"/>
        <w:rPr>
          <w:rFonts w:ascii="Rockwell" w:hAnsi="Rockwell"/>
          <w:color w:val="auto"/>
          <w:sz w:val="24"/>
          <w:szCs w:val="24"/>
        </w:rPr>
      </w:pPr>
      <w:bookmarkStart w:id="618" w:name="_Toc505063335"/>
      <w:r w:rsidRPr="0061020E">
        <w:rPr>
          <w:rFonts w:ascii="Rockwell" w:hAnsi="Rockwell"/>
          <w:color w:val="auto"/>
          <w:sz w:val="24"/>
          <w:szCs w:val="24"/>
        </w:rPr>
        <w:t>Mobilier</w:t>
      </w:r>
      <w:bookmarkEnd w:id="618"/>
    </w:p>
    <w:p w:rsidR="00034A9C" w:rsidRPr="00034A9C" w:rsidRDefault="00034A9C" w:rsidP="00034A9C">
      <w:pPr>
        <w:rPr>
          <w:lang w:val="fr-CA"/>
        </w:rPr>
      </w:pPr>
    </w:p>
    <w:tbl>
      <w:tblPr>
        <w:tblStyle w:val="Grilledutableau"/>
        <w:tblW w:w="9678" w:type="dxa"/>
        <w:jc w:val="center"/>
        <w:tblLayout w:type="fixed"/>
        <w:tblLook w:val="01E0" w:firstRow="1" w:lastRow="1" w:firstColumn="1" w:lastColumn="1" w:noHBand="0" w:noVBand="0"/>
      </w:tblPr>
      <w:tblGrid>
        <w:gridCol w:w="2305"/>
        <w:gridCol w:w="5405"/>
        <w:gridCol w:w="1968"/>
      </w:tblGrid>
      <w:tr w:rsidR="008C7F3C" w:rsidRPr="006847BA" w:rsidTr="00034A9C">
        <w:trPr>
          <w:trHeight w:hRule="exact" w:val="1025"/>
          <w:tblHeader/>
          <w:jc w:val="center"/>
        </w:trPr>
        <w:tc>
          <w:tcPr>
            <w:tcW w:w="2305" w:type="dxa"/>
          </w:tcPr>
          <w:p w:rsidR="008C7F3C" w:rsidRPr="0061020E" w:rsidRDefault="008C7F3C" w:rsidP="00034A9C">
            <w:pPr>
              <w:pStyle w:val="TableParagraph"/>
              <w:spacing w:after="120"/>
              <w:ind w:left="180"/>
              <w:jc w:val="center"/>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5405" w:type="dxa"/>
          </w:tcPr>
          <w:p w:rsidR="008C7F3C" w:rsidRPr="0061020E" w:rsidRDefault="008C7F3C" w:rsidP="00034A9C">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1968" w:type="dxa"/>
          </w:tcPr>
          <w:p w:rsidR="008C7F3C" w:rsidRPr="0061020E" w:rsidRDefault="008C7F3C" w:rsidP="00034A9C">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B3767C">
        <w:trPr>
          <w:trHeight w:hRule="exact" w:val="1039"/>
          <w:jc w:val="center"/>
        </w:trPr>
        <w:tc>
          <w:tcPr>
            <w:tcW w:w="230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EN</w:t>
            </w:r>
            <w:r w:rsidRPr="0061020E">
              <w:rPr>
                <w:rFonts w:ascii="Rockwell" w:hAnsi="Rockwell"/>
                <w:spacing w:val="-2"/>
                <w:sz w:val="24"/>
                <w:szCs w:val="24"/>
                <w:lang w:val="fr-CA"/>
              </w:rPr>
              <w:t xml:space="preserve"> </w:t>
            </w:r>
            <w:r w:rsidRPr="0061020E">
              <w:rPr>
                <w:rFonts w:ascii="Rockwell" w:hAnsi="Rockwell"/>
                <w:sz w:val="24"/>
                <w:szCs w:val="24"/>
                <w:lang w:val="fr-CA"/>
              </w:rPr>
              <w:t>1729-2:2006</w:t>
            </w:r>
          </w:p>
        </w:tc>
        <w:tc>
          <w:tcPr>
            <w:tcW w:w="540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Meubles - chaises et tables pour les établissements d'enseignement - partie 2: exigences de sécurité et méthodes</w:t>
            </w:r>
            <w:r w:rsidRPr="0061020E">
              <w:rPr>
                <w:rFonts w:ascii="Rockwell" w:hAnsi="Rockwell"/>
                <w:spacing w:val="-17"/>
                <w:sz w:val="24"/>
                <w:szCs w:val="24"/>
                <w:lang w:val="fr-CA"/>
              </w:rPr>
              <w:t xml:space="preserve"> </w:t>
            </w:r>
            <w:r w:rsidRPr="0061020E">
              <w:rPr>
                <w:rFonts w:ascii="Rockwell" w:hAnsi="Rockwell"/>
                <w:sz w:val="24"/>
                <w:szCs w:val="24"/>
                <w:lang w:val="fr-CA"/>
              </w:rPr>
              <w:t>d'essai</w:t>
            </w:r>
          </w:p>
        </w:tc>
        <w:tc>
          <w:tcPr>
            <w:tcW w:w="1968" w:type="dxa"/>
            <w:vMerge w:val="restart"/>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Stabilité et</w:t>
            </w:r>
            <w:r w:rsidRPr="0061020E">
              <w:rPr>
                <w:rFonts w:ascii="Rockwell" w:hAnsi="Rockwell"/>
                <w:spacing w:val="8"/>
                <w:sz w:val="24"/>
                <w:szCs w:val="24"/>
                <w:lang w:val="fr-CA"/>
              </w:rPr>
              <w:t xml:space="preserve"> </w:t>
            </w:r>
            <w:r w:rsidRPr="0061020E">
              <w:rPr>
                <w:rFonts w:ascii="Rockwell" w:hAnsi="Rockwell"/>
                <w:sz w:val="24"/>
                <w:szCs w:val="24"/>
                <w:lang w:val="fr-CA"/>
              </w:rPr>
              <w:t>résistance</w:t>
            </w:r>
          </w:p>
        </w:tc>
      </w:tr>
      <w:tr w:rsidR="008C7F3C" w:rsidRPr="006847BA" w:rsidTr="0091225C">
        <w:trPr>
          <w:trHeight w:hRule="exact" w:val="878"/>
          <w:jc w:val="center"/>
        </w:trPr>
        <w:tc>
          <w:tcPr>
            <w:tcW w:w="2305" w:type="dxa"/>
            <w:tcBorders>
              <w:bottom w:val="single" w:sz="4" w:space="0" w:color="auto"/>
            </w:tcBorders>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 xml:space="preserve">NF EN 1729-1 Octobre 2006  </w:t>
            </w:r>
          </w:p>
        </w:tc>
        <w:tc>
          <w:tcPr>
            <w:tcW w:w="5405" w:type="dxa"/>
            <w:tcBorders>
              <w:bottom w:val="single" w:sz="4" w:space="0" w:color="auto"/>
            </w:tcBorders>
          </w:tcPr>
          <w:p w:rsidR="008C7F3C" w:rsidRPr="0061020E" w:rsidRDefault="008C7F3C" w:rsidP="0091225C">
            <w:pPr>
              <w:pStyle w:val="TableParagraph"/>
              <w:spacing w:after="120"/>
              <w:ind w:left="131"/>
              <w:jc w:val="both"/>
              <w:rPr>
                <w:rFonts w:ascii="Rockwell" w:hAnsi="Rockwell"/>
                <w:sz w:val="24"/>
                <w:szCs w:val="24"/>
                <w:lang w:val="fr-CA"/>
              </w:rPr>
            </w:pPr>
            <w:r w:rsidRPr="0061020E">
              <w:rPr>
                <w:rFonts w:ascii="Rockwell" w:hAnsi="Rockwell"/>
                <w:sz w:val="24"/>
                <w:szCs w:val="24"/>
                <w:lang w:val="fr-CA"/>
              </w:rPr>
              <w:t>Meubles - Chaises et tables pour les établissements d'enseignement - Parti</w:t>
            </w:r>
            <w:r w:rsidR="0091225C">
              <w:rPr>
                <w:rFonts w:ascii="Rockwell" w:hAnsi="Rockwell"/>
                <w:sz w:val="24"/>
                <w:szCs w:val="24"/>
                <w:lang w:val="fr-CA"/>
              </w:rPr>
              <w:t>e 1 : dimensions fonctionnelles</w:t>
            </w:r>
          </w:p>
        </w:tc>
        <w:tc>
          <w:tcPr>
            <w:tcW w:w="1968" w:type="dxa"/>
            <w:vMerge/>
            <w:tcBorders>
              <w:bottom w:val="single" w:sz="4" w:space="0" w:color="auto"/>
            </w:tcBorders>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91225C">
        <w:trPr>
          <w:trHeight w:hRule="exact" w:val="1003"/>
          <w:jc w:val="center"/>
        </w:trPr>
        <w:tc>
          <w:tcPr>
            <w:tcW w:w="2305" w:type="dxa"/>
            <w:tcBorders>
              <w:top w:val="single" w:sz="4" w:space="0" w:color="auto"/>
              <w:left w:val="single" w:sz="4" w:space="0" w:color="auto"/>
              <w:bottom w:val="single" w:sz="4" w:space="0" w:color="auto"/>
              <w:right w:val="single" w:sz="4" w:space="0" w:color="auto"/>
            </w:tcBorders>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 xml:space="preserve">NF EN 1729-2 Avril 2012   </w:t>
            </w:r>
          </w:p>
        </w:tc>
        <w:tc>
          <w:tcPr>
            <w:tcW w:w="5405" w:type="dxa"/>
            <w:tcBorders>
              <w:top w:val="single" w:sz="4" w:space="0" w:color="auto"/>
              <w:left w:val="single" w:sz="4" w:space="0" w:color="auto"/>
              <w:bottom w:val="single" w:sz="4" w:space="0" w:color="auto"/>
              <w:right w:val="single" w:sz="4" w:space="0" w:color="auto"/>
            </w:tcBorders>
          </w:tcPr>
          <w:p w:rsidR="008C7F3C" w:rsidRPr="0061020E" w:rsidRDefault="008C7F3C" w:rsidP="0091225C">
            <w:pPr>
              <w:pStyle w:val="TableParagraph"/>
              <w:spacing w:after="120"/>
              <w:ind w:left="131"/>
              <w:jc w:val="both"/>
              <w:rPr>
                <w:rFonts w:ascii="Rockwell" w:hAnsi="Rockwell"/>
                <w:sz w:val="24"/>
                <w:szCs w:val="24"/>
                <w:lang w:val="fr-CA"/>
              </w:rPr>
            </w:pPr>
            <w:r w:rsidRPr="0061020E">
              <w:rPr>
                <w:rFonts w:ascii="Rockwell" w:hAnsi="Rockwell"/>
                <w:sz w:val="24"/>
                <w:szCs w:val="24"/>
                <w:lang w:val="fr-CA"/>
              </w:rPr>
              <w:t xml:space="preserve">Meubles - Chaises et tables pour les établissements d'enseignement - Partie 2 : exigences </w:t>
            </w:r>
            <w:r w:rsidR="0091225C">
              <w:rPr>
                <w:rFonts w:ascii="Rockwell" w:hAnsi="Rockwell"/>
                <w:sz w:val="24"/>
                <w:szCs w:val="24"/>
                <w:lang w:val="fr-CA"/>
              </w:rPr>
              <w:t>de sécurité et méthodes d'essai</w:t>
            </w:r>
          </w:p>
        </w:tc>
        <w:tc>
          <w:tcPr>
            <w:tcW w:w="1968" w:type="dxa"/>
            <w:vMerge/>
            <w:tcBorders>
              <w:top w:val="single" w:sz="4" w:space="0" w:color="auto"/>
              <w:left w:val="single" w:sz="4" w:space="0" w:color="auto"/>
              <w:bottom w:val="single" w:sz="4" w:space="0" w:color="auto"/>
              <w:right w:val="single" w:sz="4" w:space="0" w:color="auto"/>
            </w:tcBorders>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91225C">
        <w:trPr>
          <w:trHeight w:hRule="exact" w:val="704"/>
          <w:jc w:val="center"/>
        </w:trPr>
        <w:tc>
          <w:tcPr>
            <w:tcW w:w="2305" w:type="dxa"/>
            <w:tcBorders>
              <w:top w:val="single" w:sz="4" w:space="0" w:color="auto"/>
            </w:tcBorders>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 xml:space="preserve">FD CEN/TR 14073-1  </w:t>
            </w:r>
          </w:p>
        </w:tc>
        <w:tc>
          <w:tcPr>
            <w:tcW w:w="5405" w:type="dxa"/>
            <w:tcBorders>
              <w:top w:val="single" w:sz="4" w:space="0" w:color="auto"/>
            </w:tcBorders>
          </w:tcPr>
          <w:p w:rsidR="008C7F3C" w:rsidRPr="0061020E" w:rsidRDefault="008C7F3C" w:rsidP="008F6018">
            <w:pPr>
              <w:pStyle w:val="TableParagraph"/>
              <w:spacing w:after="120"/>
              <w:ind w:left="131"/>
              <w:jc w:val="both"/>
              <w:rPr>
                <w:rFonts w:ascii="Rockwell" w:hAnsi="Rockwell"/>
                <w:sz w:val="24"/>
                <w:szCs w:val="24"/>
                <w:lang w:val="fr-CA"/>
              </w:rPr>
            </w:pPr>
            <w:r w:rsidRPr="0061020E">
              <w:rPr>
                <w:rFonts w:ascii="Rockwell" w:hAnsi="Rockwell"/>
                <w:sz w:val="24"/>
                <w:szCs w:val="24"/>
                <w:lang w:val="fr-CA"/>
              </w:rPr>
              <w:t xml:space="preserve">Mobilier de bureau - Meubles de rangement - Partie 1 : dimensions </w:t>
            </w:r>
          </w:p>
          <w:p w:rsidR="008C7F3C" w:rsidRPr="0061020E" w:rsidRDefault="008C7F3C" w:rsidP="008F6018">
            <w:pPr>
              <w:pStyle w:val="TableParagraph"/>
              <w:spacing w:after="120"/>
              <w:ind w:left="131"/>
              <w:jc w:val="both"/>
              <w:rPr>
                <w:rFonts w:ascii="Rockwell" w:hAnsi="Rockwell"/>
                <w:sz w:val="24"/>
                <w:szCs w:val="24"/>
                <w:lang w:val="fr-CA"/>
              </w:rPr>
            </w:pPr>
          </w:p>
        </w:tc>
        <w:tc>
          <w:tcPr>
            <w:tcW w:w="1968" w:type="dxa"/>
            <w:vMerge/>
            <w:tcBorders>
              <w:top w:val="single" w:sz="4" w:space="0" w:color="auto"/>
            </w:tcBorders>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861"/>
          <w:jc w:val="center"/>
        </w:trPr>
        <w:tc>
          <w:tcPr>
            <w:tcW w:w="230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NF D62-041</w:t>
            </w:r>
          </w:p>
        </w:tc>
        <w:tc>
          <w:tcPr>
            <w:tcW w:w="5405" w:type="dxa"/>
          </w:tcPr>
          <w:p w:rsidR="008C7F3C" w:rsidRPr="0061020E" w:rsidRDefault="008C7F3C" w:rsidP="008F6018">
            <w:pPr>
              <w:pStyle w:val="TableParagraph"/>
              <w:spacing w:after="120"/>
              <w:ind w:left="131"/>
              <w:jc w:val="both"/>
              <w:rPr>
                <w:rFonts w:ascii="Rockwell" w:hAnsi="Rockwell"/>
                <w:sz w:val="24"/>
                <w:szCs w:val="24"/>
                <w:lang w:val="fr-CA"/>
              </w:rPr>
            </w:pPr>
            <w:r w:rsidRPr="0061020E">
              <w:rPr>
                <w:rFonts w:ascii="Rockwell" w:hAnsi="Rockwell"/>
                <w:sz w:val="24"/>
                <w:szCs w:val="24"/>
                <w:lang w:val="fr-CA"/>
              </w:rPr>
              <w:t xml:space="preserve">Mobilier de bureau - Meubles de rangement - Durabilité et performance - Essais et exigences </w:t>
            </w:r>
          </w:p>
          <w:p w:rsidR="008C7F3C" w:rsidRPr="0061020E" w:rsidRDefault="008C7F3C" w:rsidP="008F6018">
            <w:pPr>
              <w:pStyle w:val="TableParagraph"/>
              <w:spacing w:after="120"/>
              <w:ind w:left="131"/>
              <w:jc w:val="both"/>
              <w:rPr>
                <w:rFonts w:ascii="Rockwell" w:hAnsi="Rockwell"/>
                <w:sz w:val="24"/>
                <w:szCs w:val="24"/>
                <w:lang w:val="fr-CA"/>
              </w:rPr>
            </w:pP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034A9C">
        <w:trPr>
          <w:trHeight w:hRule="exact" w:val="878"/>
          <w:jc w:val="center"/>
        </w:trPr>
        <w:tc>
          <w:tcPr>
            <w:tcW w:w="230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NF D65-763-1</w:t>
            </w:r>
          </w:p>
        </w:tc>
        <w:tc>
          <w:tcPr>
            <w:tcW w:w="5405" w:type="dxa"/>
          </w:tcPr>
          <w:p w:rsidR="008C7F3C" w:rsidRPr="0061020E" w:rsidRDefault="008C7F3C" w:rsidP="008F6018">
            <w:pPr>
              <w:pStyle w:val="TableParagraph"/>
              <w:spacing w:after="120"/>
              <w:ind w:left="131"/>
              <w:jc w:val="both"/>
              <w:rPr>
                <w:rFonts w:ascii="Rockwell" w:hAnsi="Rockwell"/>
                <w:sz w:val="24"/>
                <w:szCs w:val="24"/>
                <w:lang w:val="fr-CA"/>
              </w:rPr>
            </w:pPr>
            <w:r w:rsidRPr="0061020E">
              <w:rPr>
                <w:rFonts w:ascii="Rockwell" w:hAnsi="Rockwell"/>
                <w:sz w:val="24"/>
                <w:szCs w:val="24"/>
                <w:lang w:val="fr-CA"/>
              </w:rPr>
              <w:t>Mobilier technique - Meubles de rangement fixes ou mobiles - Partie 1 : exigences de sécurité</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968"/>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5970:1979</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Ameublement -- Sièges et tables pour établissements d'enseignement -- Dimensions fonctionnelles</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708"/>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7175-1:1997</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Lits fixes et lits pliants pour enfants à usage domestique -- Partie 1: Exigences de sécurité</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964"/>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9098-1:1994</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Lits superposés pour usage domestique -- Spécifications de sécurité et essais -- Partie 1: Spécifications de sécurité</w:t>
            </w:r>
          </w:p>
        </w:tc>
        <w:tc>
          <w:tcPr>
            <w:tcW w:w="1968" w:type="dxa"/>
            <w:vMerge w:val="restart"/>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978"/>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9098-2:1994</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Lits superposés pour usage domestique -- Spécifications de sécurité et essais -- Partie 2: Méthodes d'essai</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709"/>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lastRenderedPageBreak/>
              <w:t>ISO 9221-1:1992</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Ameublement -- Chaises hautes pour enfants -- Partie 1: Prescriptions de sécurité</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692"/>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ISO/PRF 9221-1</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Ameublement -- Chaises hautes pour enfants -- Partie 1: Prescriptions de sécurité</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574"/>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9221-2:1992</w:t>
            </w: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Ameublement -- Chaises hautes pour enfants -- Partie 2: Méthodes d'essai</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694"/>
          <w:jc w:val="center"/>
        </w:trPr>
        <w:tc>
          <w:tcPr>
            <w:tcW w:w="2305" w:type="dxa"/>
          </w:tcPr>
          <w:p w:rsidR="008C7F3C" w:rsidRPr="0061020E" w:rsidRDefault="008C7F3C" w:rsidP="008F6018">
            <w:pPr>
              <w:pStyle w:val="TableParagraph"/>
              <w:spacing w:after="120"/>
              <w:jc w:val="both"/>
              <w:rPr>
                <w:rFonts w:ascii="Rockwell" w:hAnsi="Rockwell"/>
                <w:sz w:val="24"/>
                <w:szCs w:val="24"/>
                <w:lang w:val="fr-CA"/>
              </w:rPr>
            </w:pPr>
          </w:p>
        </w:tc>
        <w:tc>
          <w:tcPr>
            <w:tcW w:w="540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Lits rabattables --Exigences de sécurité et essais -- Partie 1: Exigences de sécurité</w:t>
            </w:r>
          </w:p>
        </w:tc>
        <w:tc>
          <w:tcPr>
            <w:tcW w:w="1968"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034A9C">
        <w:trPr>
          <w:trHeight w:hRule="exact" w:val="874"/>
          <w:jc w:val="center"/>
        </w:trPr>
        <w:tc>
          <w:tcPr>
            <w:tcW w:w="2305" w:type="dxa"/>
            <w:tcBorders>
              <w:bottom w:val="single" w:sz="4" w:space="0" w:color="auto"/>
            </w:tcBorders>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5970:1979</w:t>
            </w:r>
          </w:p>
        </w:tc>
        <w:tc>
          <w:tcPr>
            <w:tcW w:w="5405" w:type="dxa"/>
            <w:tcBorders>
              <w:bottom w:val="single" w:sz="4" w:space="0" w:color="auto"/>
            </w:tcBorders>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Ameublement -- Sièges et tables pour établissements d'enseignement -- Dimensions fonctionnelles</w:t>
            </w:r>
          </w:p>
        </w:tc>
        <w:tc>
          <w:tcPr>
            <w:tcW w:w="1968" w:type="dxa"/>
            <w:tcBorders>
              <w:bottom w:val="single" w:sz="4" w:space="0" w:color="auto"/>
            </w:tcBorders>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034A9C">
        <w:trPr>
          <w:trHeight w:hRule="exact" w:val="722"/>
          <w:jc w:val="center"/>
        </w:trPr>
        <w:tc>
          <w:tcPr>
            <w:tcW w:w="2305" w:type="dxa"/>
            <w:tcBorders>
              <w:top w:val="single" w:sz="4" w:space="0" w:color="auto"/>
              <w:left w:val="single" w:sz="4" w:space="0" w:color="auto"/>
              <w:bottom w:val="single" w:sz="4" w:space="0" w:color="auto"/>
              <w:right w:val="single" w:sz="4" w:space="0" w:color="auto"/>
            </w:tcBorders>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ISO 7175-1:1997</w:t>
            </w:r>
          </w:p>
        </w:tc>
        <w:tc>
          <w:tcPr>
            <w:tcW w:w="5405" w:type="dxa"/>
            <w:tcBorders>
              <w:top w:val="single" w:sz="4" w:space="0" w:color="auto"/>
              <w:left w:val="single" w:sz="4" w:space="0" w:color="auto"/>
              <w:bottom w:val="single" w:sz="4" w:space="0" w:color="auto"/>
              <w:right w:val="single" w:sz="4" w:space="0" w:color="auto"/>
            </w:tcBorders>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Lits fixes et lits pliants pour enfants à usage domestique -- Partie 1: Exigences de sécurité</w:t>
            </w:r>
          </w:p>
        </w:tc>
        <w:tc>
          <w:tcPr>
            <w:tcW w:w="1968" w:type="dxa"/>
            <w:tcBorders>
              <w:top w:val="single" w:sz="4" w:space="0" w:color="auto"/>
              <w:left w:val="single" w:sz="4" w:space="0" w:color="auto"/>
              <w:bottom w:val="single" w:sz="4" w:space="0" w:color="auto"/>
              <w:right w:val="single" w:sz="4" w:space="0" w:color="auto"/>
            </w:tcBorders>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034A9C">
        <w:trPr>
          <w:trHeight w:hRule="exact" w:val="2813"/>
          <w:jc w:val="center"/>
        </w:trPr>
        <w:tc>
          <w:tcPr>
            <w:tcW w:w="2305" w:type="dxa"/>
            <w:tcBorders>
              <w:top w:val="single" w:sz="4" w:space="0" w:color="auto"/>
            </w:tcBorders>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EN14351-1:</w:t>
            </w:r>
            <w:r w:rsidRPr="0061020E">
              <w:rPr>
                <w:rFonts w:ascii="Rockwell" w:hAnsi="Rockwell"/>
                <w:spacing w:val="-3"/>
                <w:sz w:val="24"/>
                <w:szCs w:val="24"/>
                <w:lang w:val="fr-CA"/>
              </w:rPr>
              <w:t xml:space="preserve"> </w:t>
            </w:r>
            <w:r w:rsidRPr="0061020E">
              <w:rPr>
                <w:rFonts w:ascii="Rockwell" w:hAnsi="Rockwell"/>
                <w:sz w:val="24"/>
                <w:szCs w:val="24"/>
                <w:lang w:val="fr-CA"/>
              </w:rPr>
              <w:t>2010</w:t>
            </w:r>
          </w:p>
        </w:tc>
        <w:tc>
          <w:tcPr>
            <w:tcW w:w="5405" w:type="dxa"/>
            <w:tcBorders>
              <w:top w:val="single" w:sz="4" w:space="0" w:color="auto"/>
            </w:tcBorders>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Fenêtres et portes. Norme produit. Caractéristiques de performance .Partie 1 fenêtres et bloc portes</w:t>
            </w:r>
            <w:r w:rsidRPr="0061020E">
              <w:rPr>
                <w:rFonts w:ascii="Rockwell" w:hAnsi="Rockwell"/>
                <w:spacing w:val="-12"/>
                <w:sz w:val="24"/>
                <w:szCs w:val="24"/>
                <w:lang w:val="fr-CA"/>
              </w:rPr>
              <w:t xml:space="preserve"> </w:t>
            </w:r>
            <w:r w:rsidRPr="0061020E">
              <w:rPr>
                <w:rFonts w:ascii="Rockwell" w:hAnsi="Rockwell"/>
                <w:sz w:val="24"/>
                <w:szCs w:val="24"/>
                <w:lang w:val="fr-CA"/>
              </w:rPr>
              <w:t>extérieurs</w:t>
            </w:r>
          </w:p>
        </w:tc>
        <w:tc>
          <w:tcPr>
            <w:tcW w:w="1968" w:type="dxa"/>
            <w:tcBorders>
              <w:top w:val="single" w:sz="4" w:space="0" w:color="auto"/>
            </w:tcBorders>
          </w:tcPr>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Étanchéité à</w:t>
            </w:r>
            <w:r w:rsidRPr="0061020E">
              <w:rPr>
                <w:rFonts w:ascii="Rockwell" w:eastAsia="Calibri" w:hAnsi="Rockwell" w:cs="Calibri"/>
                <w:spacing w:val="-5"/>
                <w:sz w:val="24"/>
                <w:szCs w:val="24"/>
                <w:lang w:val="fr-CA"/>
              </w:rPr>
              <w:t xml:space="preserve"> </w:t>
            </w:r>
            <w:r w:rsidRPr="0061020E">
              <w:rPr>
                <w:rFonts w:ascii="Rockwell" w:eastAsia="Calibri" w:hAnsi="Rockwell" w:cs="Calibri"/>
                <w:sz w:val="24"/>
                <w:szCs w:val="24"/>
                <w:lang w:val="fr-CA"/>
              </w:rPr>
              <w:t>l’eau</w:t>
            </w:r>
          </w:p>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hAnsi="Rockwell"/>
                <w:sz w:val="24"/>
                <w:szCs w:val="24"/>
                <w:lang w:val="fr-CA"/>
              </w:rPr>
              <w:t>Résistance aux</w:t>
            </w:r>
            <w:r w:rsidRPr="0061020E">
              <w:rPr>
                <w:rFonts w:ascii="Rockwell" w:hAnsi="Rockwell"/>
                <w:spacing w:val="-6"/>
                <w:sz w:val="24"/>
                <w:szCs w:val="24"/>
                <w:lang w:val="fr-CA"/>
              </w:rPr>
              <w:t xml:space="preserve"> </w:t>
            </w:r>
            <w:r w:rsidRPr="0061020E">
              <w:rPr>
                <w:rFonts w:ascii="Rockwell" w:hAnsi="Rockwell"/>
                <w:sz w:val="24"/>
                <w:szCs w:val="24"/>
                <w:lang w:val="fr-CA"/>
              </w:rPr>
              <w:t>chocs</w:t>
            </w:r>
          </w:p>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hAnsi="Rockwell"/>
                <w:sz w:val="24"/>
                <w:szCs w:val="24"/>
                <w:lang w:val="fr-CA"/>
              </w:rPr>
              <w:t>Résistance</w:t>
            </w:r>
            <w:r w:rsidRPr="0061020E">
              <w:rPr>
                <w:rFonts w:ascii="Rockwell" w:hAnsi="Rockwell"/>
                <w:spacing w:val="-5"/>
                <w:sz w:val="24"/>
                <w:szCs w:val="24"/>
                <w:lang w:val="fr-CA"/>
              </w:rPr>
              <w:t xml:space="preserve"> </w:t>
            </w:r>
            <w:r w:rsidRPr="0061020E">
              <w:rPr>
                <w:rFonts w:ascii="Rockwell" w:hAnsi="Rockwell"/>
                <w:sz w:val="24"/>
                <w:szCs w:val="24"/>
                <w:lang w:val="fr-CA"/>
              </w:rPr>
              <w:t>mécanique</w:t>
            </w:r>
          </w:p>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hAnsi="Rockwell"/>
                <w:sz w:val="24"/>
                <w:szCs w:val="24"/>
                <w:lang w:val="fr-CA"/>
              </w:rPr>
              <w:t>Aptitude au</w:t>
            </w:r>
            <w:r w:rsidRPr="0061020E">
              <w:rPr>
                <w:rFonts w:ascii="Rockwell" w:hAnsi="Rockwell"/>
                <w:spacing w:val="-10"/>
                <w:sz w:val="24"/>
                <w:szCs w:val="24"/>
                <w:lang w:val="fr-CA"/>
              </w:rPr>
              <w:t xml:space="preserve"> </w:t>
            </w:r>
            <w:r w:rsidRPr="0061020E">
              <w:rPr>
                <w:rFonts w:ascii="Rockwell" w:hAnsi="Rockwell"/>
                <w:sz w:val="24"/>
                <w:szCs w:val="24"/>
                <w:lang w:val="fr-CA"/>
              </w:rPr>
              <w:t>déblocage</w:t>
            </w:r>
          </w:p>
        </w:tc>
      </w:tr>
    </w:tbl>
    <w:p w:rsidR="008C7F3C" w:rsidRDefault="008C7F3C" w:rsidP="008F6018">
      <w:pPr>
        <w:tabs>
          <w:tab w:val="left" w:pos="2490"/>
        </w:tabs>
        <w:spacing w:after="120" w:line="240" w:lineRule="auto"/>
        <w:jc w:val="both"/>
        <w:rPr>
          <w:rFonts w:ascii="Rockwell" w:hAnsi="Rockwell"/>
          <w:sz w:val="24"/>
          <w:szCs w:val="24"/>
          <w:lang w:val="fr-CA"/>
        </w:rPr>
      </w:pPr>
    </w:p>
    <w:p w:rsidR="008C7F3C" w:rsidRDefault="008C7F3C" w:rsidP="008F6018">
      <w:pPr>
        <w:pStyle w:val="Titre3"/>
        <w:numPr>
          <w:ilvl w:val="0"/>
          <w:numId w:val="104"/>
        </w:numPr>
        <w:spacing w:before="0" w:after="120" w:line="240" w:lineRule="auto"/>
        <w:jc w:val="both"/>
        <w:rPr>
          <w:rFonts w:ascii="Rockwell" w:hAnsi="Rockwell"/>
          <w:color w:val="auto"/>
          <w:sz w:val="24"/>
          <w:szCs w:val="24"/>
        </w:rPr>
      </w:pPr>
      <w:bookmarkStart w:id="619" w:name="_Toc505063336"/>
      <w:r w:rsidRPr="0061020E">
        <w:rPr>
          <w:rFonts w:ascii="Rockwell" w:hAnsi="Rockwell"/>
          <w:color w:val="auto"/>
          <w:sz w:val="24"/>
          <w:szCs w:val="24"/>
        </w:rPr>
        <w:t>Matériel scolaire et artifices de divertissement</w:t>
      </w:r>
      <w:bookmarkEnd w:id="619"/>
    </w:p>
    <w:p w:rsidR="00B3767C" w:rsidRPr="00B3767C" w:rsidRDefault="00B3767C" w:rsidP="008F6018">
      <w:pPr>
        <w:spacing w:after="120" w:line="240" w:lineRule="auto"/>
        <w:rPr>
          <w:lang w:val="fr-CA"/>
        </w:rPr>
      </w:pPr>
    </w:p>
    <w:tbl>
      <w:tblPr>
        <w:tblStyle w:val="Grilledutableau"/>
        <w:tblW w:w="10402" w:type="dxa"/>
        <w:jc w:val="center"/>
        <w:tblLayout w:type="fixed"/>
        <w:tblLook w:val="01E0" w:firstRow="1" w:lastRow="1" w:firstColumn="1" w:lastColumn="1" w:noHBand="0" w:noVBand="0"/>
      </w:tblPr>
      <w:tblGrid>
        <w:gridCol w:w="2555"/>
        <w:gridCol w:w="4961"/>
        <w:gridCol w:w="2886"/>
      </w:tblGrid>
      <w:tr w:rsidR="008C7F3C" w:rsidRPr="006847BA" w:rsidTr="00B3767C">
        <w:trPr>
          <w:trHeight w:hRule="exact" w:val="1174"/>
          <w:jc w:val="center"/>
        </w:trPr>
        <w:tc>
          <w:tcPr>
            <w:tcW w:w="2555" w:type="dxa"/>
          </w:tcPr>
          <w:p w:rsidR="008C7F3C" w:rsidRPr="0061020E" w:rsidRDefault="008C7F3C" w:rsidP="008F6018">
            <w:pPr>
              <w:pStyle w:val="TableParagraph"/>
              <w:spacing w:after="120"/>
              <w:ind w:left="180"/>
              <w:jc w:val="both"/>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4961" w:type="dxa"/>
          </w:tcPr>
          <w:p w:rsidR="008C7F3C" w:rsidRPr="0061020E" w:rsidRDefault="008C7F3C" w:rsidP="008F6018">
            <w:pPr>
              <w:pStyle w:val="TableParagraph"/>
              <w:spacing w:after="120"/>
              <w:ind w:right="1822"/>
              <w:jc w:val="both"/>
              <w:rPr>
                <w:rFonts w:ascii="Rockwell" w:eastAsia="Calibri" w:hAnsi="Rockwell" w:cs="Calibri"/>
                <w:sz w:val="24"/>
                <w:szCs w:val="24"/>
                <w:lang w:val="fr-CA"/>
              </w:rPr>
            </w:pPr>
            <w:r w:rsidRPr="0061020E">
              <w:rPr>
                <w:rFonts w:ascii="Rockwell" w:hAnsi="Rockwell"/>
                <w:b/>
                <w:sz w:val="24"/>
                <w:szCs w:val="24"/>
                <w:lang w:val="fr-CA"/>
              </w:rPr>
              <w:t>Intitulé</w:t>
            </w:r>
          </w:p>
        </w:tc>
        <w:tc>
          <w:tcPr>
            <w:tcW w:w="2886"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B3767C">
        <w:trPr>
          <w:trHeight w:hRule="exact" w:val="1198"/>
          <w:jc w:val="center"/>
        </w:trPr>
        <w:tc>
          <w:tcPr>
            <w:tcW w:w="255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NF Q31-009</w:t>
            </w:r>
          </w:p>
        </w:tc>
        <w:tc>
          <w:tcPr>
            <w:tcW w:w="4961"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Cahiers scolaires et articles assimilés</w:t>
            </w:r>
          </w:p>
        </w:tc>
        <w:tc>
          <w:tcPr>
            <w:tcW w:w="2886"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 xml:space="preserve">dimensions, nombre de pages, qualités, réglures, façonnage et paquetage </w:t>
            </w:r>
          </w:p>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eastAsia="Calibri" w:hAnsi="Rockwell" w:cs="Calibri"/>
                <w:sz w:val="24"/>
                <w:szCs w:val="24"/>
                <w:lang w:val="fr-CA"/>
              </w:rPr>
            </w:pPr>
          </w:p>
        </w:tc>
      </w:tr>
      <w:tr w:rsidR="008C7F3C" w:rsidRPr="006847BA" w:rsidTr="00B3767C">
        <w:trPr>
          <w:trHeight w:hRule="exact" w:val="1277"/>
          <w:jc w:val="center"/>
        </w:trPr>
        <w:tc>
          <w:tcPr>
            <w:tcW w:w="255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 xml:space="preserve">NF Q11-012 Août 1980  </w:t>
            </w:r>
          </w:p>
        </w:tc>
        <w:tc>
          <w:tcPr>
            <w:tcW w:w="4961"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Caractéristiques des papiers pour couvertures de cahiers scolaires et articles assimilés</w:t>
            </w:r>
          </w:p>
        </w:tc>
        <w:tc>
          <w:tcPr>
            <w:tcW w:w="2886"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 xml:space="preserve">solidité ; </w:t>
            </w: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aspect fonctionnel et sécurité du contenu ; confort et sécurité de l'utilisateur</w:t>
            </w:r>
          </w:p>
          <w:p w:rsidR="008C7F3C" w:rsidRPr="0061020E" w:rsidRDefault="008C7F3C" w:rsidP="008F6018">
            <w:pPr>
              <w:pStyle w:val="TableParagraph"/>
              <w:tabs>
                <w:tab w:val="left" w:pos="405"/>
              </w:tabs>
              <w:spacing w:after="120"/>
              <w:jc w:val="both"/>
              <w:rPr>
                <w:rFonts w:ascii="Rockwell" w:hAnsi="Rockwell"/>
                <w:sz w:val="24"/>
                <w:szCs w:val="24"/>
                <w:lang w:val="fr-CA"/>
              </w:rPr>
            </w:pPr>
            <w:r w:rsidRPr="0061020E">
              <w:rPr>
                <w:rFonts w:ascii="Rockwell" w:hAnsi="Rockwell"/>
                <w:sz w:val="24"/>
                <w:szCs w:val="24"/>
                <w:lang w:val="fr-CA"/>
              </w:rPr>
              <w:t>durabilité</w:t>
            </w:r>
          </w:p>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hAnsi="Rockwell"/>
                <w:sz w:val="24"/>
                <w:szCs w:val="24"/>
                <w:lang w:val="fr-CA"/>
              </w:rPr>
              <w:t xml:space="preserve">toxicité </w:t>
            </w:r>
          </w:p>
        </w:tc>
      </w:tr>
      <w:tr w:rsidR="008C7F3C" w:rsidRPr="006847BA" w:rsidTr="007B7A40">
        <w:trPr>
          <w:trHeight w:hRule="exact" w:val="671"/>
          <w:jc w:val="center"/>
        </w:trPr>
        <w:tc>
          <w:tcPr>
            <w:tcW w:w="255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 xml:space="preserve">NF Q11-011  </w:t>
            </w:r>
          </w:p>
        </w:tc>
        <w:tc>
          <w:tcPr>
            <w:tcW w:w="4961"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Caractéristiques des papiers pour cahiers scolaires et articles assimilés</w:t>
            </w:r>
          </w:p>
        </w:tc>
        <w:tc>
          <w:tcPr>
            <w:tcW w:w="2886" w:type="dxa"/>
            <w:vMerge w:val="restart"/>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hRule="exact" w:val="710"/>
          <w:jc w:val="center"/>
        </w:trPr>
        <w:tc>
          <w:tcPr>
            <w:tcW w:w="255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NF EN 71-3</w:t>
            </w:r>
          </w:p>
        </w:tc>
        <w:tc>
          <w:tcPr>
            <w:tcW w:w="4961"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Sécurité des jouets - Partie 3 : migration de certains éléments</w:t>
            </w:r>
          </w:p>
        </w:tc>
        <w:tc>
          <w:tcPr>
            <w:tcW w:w="2886"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3767C">
        <w:trPr>
          <w:trHeight w:val="626"/>
          <w:jc w:val="center"/>
        </w:trPr>
        <w:tc>
          <w:tcPr>
            <w:tcW w:w="255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NF G92-001 Juin 1993</w:t>
            </w:r>
          </w:p>
        </w:tc>
        <w:tc>
          <w:tcPr>
            <w:tcW w:w="4961" w:type="dxa"/>
          </w:tcPr>
          <w:p w:rsidR="008C7F3C" w:rsidRPr="0061020E" w:rsidRDefault="008C7F3C" w:rsidP="004D51DA">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Cartables et sacs d'écolier - Définitions - Exigences.</w:t>
            </w:r>
          </w:p>
        </w:tc>
        <w:tc>
          <w:tcPr>
            <w:tcW w:w="2886" w:type="dxa"/>
          </w:tcPr>
          <w:p w:rsidR="008C7F3C" w:rsidRPr="0061020E" w:rsidRDefault="008C7F3C" w:rsidP="008F6018">
            <w:pPr>
              <w:pStyle w:val="TableParagraph"/>
              <w:spacing w:after="120"/>
              <w:jc w:val="both"/>
              <w:rPr>
                <w:rFonts w:ascii="Rockwell" w:hAnsi="Rockwell"/>
                <w:sz w:val="24"/>
                <w:szCs w:val="24"/>
                <w:lang w:val="fr-CA"/>
              </w:rPr>
            </w:pPr>
          </w:p>
        </w:tc>
      </w:tr>
      <w:tr w:rsidR="008C7F3C" w:rsidRPr="006847BA" w:rsidTr="00B3767C">
        <w:trPr>
          <w:trHeight w:hRule="exact" w:val="2559"/>
          <w:jc w:val="center"/>
        </w:trPr>
        <w:tc>
          <w:tcPr>
            <w:tcW w:w="255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Normes de la famille ISO 25947 ,  ISO26261 ISO 26261</w:t>
            </w:r>
          </w:p>
        </w:tc>
        <w:tc>
          <w:tcPr>
            <w:tcW w:w="4961"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Artifices de divertissement -- Catégories 1, 2 et 3 -- Partie 3: Étiquetage minimal</w:t>
            </w: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Artifices de divertissement -- Catégorie 4 -- Partie 2: Exigences</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Artifices de divertissement -- Catégorie 4 -- Partie 4: Exigences minimales d'étiquetage et documentation utilisateur</w:t>
            </w:r>
          </w:p>
        </w:tc>
        <w:tc>
          <w:tcPr>
            <w:tcW w:w="2886" w:type="dxa"/>
          </w:tcPr>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Classification (voir normes)</w:t>
            </w:r>
          </w:p>
        </w:tc>
      </w:tr>
    </w:tbl>
    <w:p w:rsidR="00886F08" w:rsidRDefault="00886F08" w:rsidP="008F6018">
      <w:pPr>
        <w:spacing w:after="120" w:line="240" w:lineRule="auto"/>
        <w:jc w:val="both"/>
        <w:rPr>
          <w:rFonts w:ascii="Rockwell" w:hAnsi="Rockwell"/>
          <w:sz w:val="24"/>
          <w:szCs w:val="24"/>
          <w:lang w:val="fr-CA"/>
        </w:rPr>
      </w:pPr>
    </w:p>
    <w:p w:rsidR="00B3767C" w:rsidRDefault="00B3767C" w:rsidP="008F6018">
      <w:pPr>
        <w:spacing w:after="120" w:line="240" w:lineRule="auto"/>
        <w:jc w:val="both"/>
        <w:rPr>
          <w:rFonts w:ascii="Rockwell" w:hAnsi="Rockwell"/>
          <w:sz w:val="24"/>
          <w:szCs w:val="24"/>
          <w:lang w:val="fr-CA"/>
        </w:rPr>
      </w:pPr>
    </w:p>
    <w:p w:rsidR="008C7F3C" w:rsidRPr="007B7A40" w:rsidRDefault="008C7F3C" w:rsidP="008F6018">
      <w:pPr>
        <w:pStyle w:val="Titre3"/>
        <w:numPr>
          <w:ilvl w:val="0"/>
          <w:numId w:val="104"/>
        </w:numPr>
        <w:spacing w:before="0" w:after="120" w:line="240" w:lineRule="auto"/>
        <w:jc w:val="both"/>
        <w:rPr>
          <w:rFonts w:ascii="Rockwell" w:hAnsi="Rockwell"/>
          <w:color w:val="auto"/>
          <w:sz w:val="24"/>
          <w:szCs w:val="24"/>
        </w:rPr>
      </w:pPr>
      <w:bookmarkStart w:id="620" w:name="_Toc505063337"/>
      <w:r w:rsidRPr="007B7A40">
        <w:rPr>
          <w:rFonts w:ascii="Rockwell" w:hAnsi="Rockwell"/>
          <w:color w:val="auto"/>
          <w:sz w:val="24"/>
          <w:szCs w:val="24"/>
        </w:rPr>
        <w:t>Exigences pour les laboratoires biomédicaux</w:t>
      </w:r>
      <w:bookmarkEnd w:id="620"/>
    </w:p>
    <w:p w:rsidR="008C7F3C" w:rsidRDefault="008C7F3C" w:rsidP="008F6018">
      <w:pPr>
        <w:spacing w:after="120" w:line="240" w:lineRule="auto"/>
        <w:jc w:val="both"/>
        <w:rPr>
          <w:rFonts w:ascii="Rockwell" w:hAnsi="Rockwell"/>
          <w:sz w:val="24"/>
          <w:szCs w:val="24"/>
          <w:lang w:val="fr-CA"/>
        </w:rPr>
      </w:pPr>
    </w:p>
    <w:tbl>
      <w:tblPr>
        <w:tblStyle w:val="Grilledutableau"/>
        <w:tblW w:w="10754" w:type="dxa"/>
        <w:jc w:val="center"/>
        <w:tblLayout w:type="fixed"/>
        <w:tblLook w:val="01E0" w:firstRow="1" w:lastRow="1" w:firstColumn="1" w:lastColumn="1" w:noHBand="0" w:noVBand="0"/>
      </w:tblPr>
      <w:tblGrid>
        <w:gridCol w:w="1418"/>
        <w:gridCol w:w="7185"/>
        <w:gridCol w:w="2151"/>
      </w:tblGrid>
      <w:tr w:rsidR="008C7F3C" w:rsidRPr="006847BA" w:rsidTr="00F03A26">
        <w:trPr>
          <w:trHeight w:hRule="exact" w:val="1016"/>
          <w:tblHeader/>
          <w:jc w:val="center"/>
        </w:trPr>
        <w:tc>
          <w:tcPr>
            <w:tcW w:w="1418" w:type="dxa"/>
          </w:tcPr>
          <w:p w:rsidR="008C7F3C" w:rsidRPr="0061020E" w:rsidRDefault="008C7F3C" w:rsidP="00F03A26">
            <w:pPr>
              <w:pStyle w:val="TableParagraph"/>
              <w:spacing w:after="120"/>
              <w:jc w:val="center"/>
              <w:rPr>
                <w:rFonts w:ascii="Rockwell" w:hAnsi="Rockwell"/>
                <w:b/>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w:t>
            </w:r>
          </w:p>
          <w:p w:rsidR="008C7F3C" w:rsidRPr="0061020E" w:rsidRDefault="008C7F3C" w:rsidP="00F03A26">
            <w:pPr>
              <w:pStyle w:val="TableParagraph"/>
              <w:spacing w:after="120"/>
              <w:jc w:val="center"/>
              <w:rPr>
                <w:rFonts w:ascii="Rockwell" w:eastAsia="Calibri" w:hAnsi="Rockwell" w:cs="Calibri"/>
                <w:sz w:val="24"/>
                <w:szCs w:val="24"/>
                <w:lang w:val="fr-CA"/>
              </w:rPr>
            </w:pPr>
          </w:p>
        </w:tc>
        <w:tc>
          <w:tcPr>
            <w:tcW w:w="7185" w:type="dxa"/>
          </w:tcPr>
          <w:p w:rsidR="008C7F3C" w:rsidRPr="0061020E" w:rsidRDefault="008C7F3C" w:rsidP="00F03A26">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2151" w:type="dxa"/>
          </w:tcPr>
          <w:p w:rsidR="008C7F3C" w:rsidRPr="0061020E" w:rsidRDefault="008C7F3C" w:rsidP="00F03A26">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5962FF">
        <w:trPr>
          <w:trHeight w:hRule="exact" w:val="1143"/>
          <w:jc w:val="center"/>
        </w:trPr>
        <w:tc>
          <w:tcPr>
            <w:tcW w:w="1418"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18113-1:2009</w:t>
            </w:r>
          </w:p>
        </w:tc>
        <w:tc>
          <w:tcPr>
            <w:tcW w:w="71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Dispositifs médicaux de diagnostic in vitro -- Informations fournies par le fabricant (étiquetage) -- Partie 1: Termes, définitions et exigences générales</w:t>
            </w:r>
          </w:p>
        </w:tc>
        <w:tc>
          <w:tcPr>
            <w:tcW w:w="2151" w:type="dxa"/>
            <w:vMerge w:val="restart"/>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 xml:space="preserve">Conf. Normes </w:t>
            </w:r>
          </w:p>
          <w:p w:rsidR="008C7F3C" w:rsidRPr="0061020E" w:rsidRDefault="008C7F3C" w:rsidP="008F6018">
            <w:pPr>
              <w:pStyle w:val="TableParagraph"/>
              <w:spacing w:after="120"/>
              <w:jc w:val="both"/>
              <w:rPr>
                <w:rFonts w:ascii="Rockwell" w:eastAsia="Calibri" w:hAnsi="Rockwell" w:cs="Calibri"/>
                <w:sz w:val="24"/>
                <w:szCs w:val="24"/>
                <w:lang w:val="fr-CA"/>
              </w:rPr>
            </w:pPr>
          </w:p>
        </w:tc>
      </w:tr>
      <w:tr w:rsidR="008C7F3C" w:rsidRPr="006847BA" w:rsidTr="00CF55C0">
        <w:trPr>
          <w:trHeight w:hRule="exact" w:val="829"/>
          <w:jc w:val="center"/>
        </w:trPr>
        <w:tc>
          <w:tcPr>
            <w:tcW w:w="1418"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19001:2013</w:t>
            </w:r>
          </w:p>
        </w:tc>
        <w:tc>
          <w:tcPr>
            <w:tcW w:w="71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Dispositifs médicaux de diagnostic in vitro -- Informations fournies par le fabricant avec les réactifs de coloration de diagnostic in vitro utilisés en biologie</w:t>
            </w:r>
          </w:p>
        </w:tc>
        <w:tc>
          <w:tcPr>
            <w:tcW w:w="2151"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55C0">
        <w:trPr>
          <w:trHeight w:hRule="exact" w:val="1124"/>
          <w:jc w:val="center"/>
        </w:trPr>
        <w:tc>
          <w:tcPr>
            <w:tcW w:w="1418"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ISO 17593:2007</w:t>
            </w:r>
          </w:p>
        </w:tc>
        <w:tc>
          <w:tcPr>
            <w:tcW w:w="718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Laboratoires d'analyses de biologie médicale et dispositifs médicaux de diagnostic in vitro -- Exigences relatives aux systèmes d'autosurveillance des traitements par anticoagulant oraux</w:t>
            </w:r>
          </w:p>
        </w:tc>
        <w:tc>
          <w:tcPr>
            <w:tcW w:w="2151"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55C0">
        <w:trPr>
          <w:trHeight w:hRule="exact" w:val="852"/>
          <w:jc w:val="center"/>
        </w:trPr>
        <w:tc>
          <w:tcPr>
            <w:tcW w:w="1418"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ISO 80369-1:2010</w:t>
            </w:r>
          </w:p>
        </w:tc>
        <w:tc>
          <w:tcPr>
            <w:tcW w:w="718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Raccords de petite taille pour liquides et gaz utilisés dans le domaine de la santé -- Partie 1: Exigences générales</w:t>
            </w:r>
          </w:p>
        </w:tc>
        <w:tc>
          <w:tcPr>
            <w:tcW w:w="2151"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03A26">
        <w:trPr>
          <w:trHeight w:hRule="exact" w:val="7550"/>
          <w:jc w:val="center"/>
        </w:trPr>
        <w:tc>
          <w:tcPr>
            <w:tcW w:w="1418"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lastRenderedPageBreak/>
              <w:t>Normes de la famille ISO 11138, 11139 et 11140</w:t>
            </w:r>
          </w:p>
        </w:tc>
        <w:tc>
          <w:tcPr>
            <w:tcW w:w="7185"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biologiques -- Partie 1: Exigences générales</w:t>
            </w: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biologiques -- Partie 2: Indicateurs biologiques pour la stérilisation à l'oxyde d'éthylène</w:t>
            </w:r>
            <w:r w:rsidRPr="0061020E">
              <w:rPr>
                <w:rFonts w:ascii="Rockwell" w:hAnsi="Rockwell"/>
                <w:sz w:val="24"/>
                <w:szCs w:val="24"/>
                <w:lang w:val="fr-CA"/>
              </w:rPr>
              <w:tab/>
            </w: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biologiques -- Partie 3: Indicateurs biologiques pour la stérilisation à la chaleur humide</w:t>
            </w:r>
            <w:r w:rsidRPr="0061020E">
              <w:rPr>
                <w:rFonts w:ascii="Rockwell" w:hAnsi="Rockwell"/>
                <w:sz w:val="24"/>
                <w:szCs w:val="24"/>
                <w:lang w:val="fr-CA"/>
              </w:rPr>
              <w:tab/>
            </w: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biologiques -- Partie 4: Indicateurs biologiques pour la stérilisation à la chaleur sèche</w:t>
            </w:r>
            <w:r w:rsidRPr="0061020E">
              <w:rPr>
                <w:rFonts w:ascii="Rockwell" w:hAnsi="Rockwell"/>
                <w:sz w:val="24"/>
                <w:szCs w:val="24"/>
                <w:lang w:val="fr-CA"/>
              </w:rPr>
              <w:tab/>
            </w:r>
          </w:p>
          <w:p w:rsidR="00333066"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biologiques -- Partie 5: Indicateurs biologiques pour la stérilisation à la vapeur d'eau et au f</w:t>
            </w:r>
            <w:r w:rsidR="00F03A26">
              <w:rPr>
                <w:rFonts w:ascii="Rockwell" w:hAnsi="Rockwell"/>
                <w:sz w:val="24"/>
                <w:szCs w:val="24"/>
                <w:lang w:val="fr-CA"/>
              </w:rPr>
              <w:t>ormaldéhyde à basse température</w:t>
            </w:r>
          </w:p>
          <w:p w:rsidR="00333066" w:rsidRPr="0061020E" w:rsidRDefault="00333066"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chimiques -- Partie 1: Exigences générales</w:t>
            </w:r>
          </w:p>
          <w:p w:rsidR="008C7F3C" w:rsidRPr="0061020E" w:rsidRDefault="008C7F3C" w:rsidP="00F03A26">
            <w:pPr>
              <w:pStyle w:val="TableParagraph"/>
              <w:spacing w:after="120"/>
              <w:jc w:val="both"/>
              <w:rPr>
                <w:rFonts w:ascii="Rockwell" w:hAnsi="Rockwell"/>
                <w:sz w:val="24"/>
                <w:szCs w:val="24"/>
                <w:lang w:val="fr-CA"/>
              </w:rPr>
            </w:pPr>
            <w:r w:rsidRPr="0061020E">
              <w:rPr>
                <w:rFonts w:ascii="Rockwell" w:hAnsi="Rockwell"/>
                <w:sz w:val="24"/>
                <w:szCs w:val="24"/>
                <w:lang w:val="fr-CA"/>
              </w:rPr>
              <w:t>Stérilisation des produits de santé -- Indicateurs chimiques -- Partie 3</w:t>
            </w:r>
            <w:r w:rsidR="00F03A26">
              <w:rPr>
                <w:rFonts w:ascii="Rockwell" w:hAnsi="Rockwell"/>
                <w:sz w:val="24"/>
                <w:szCs w:val="24"/>
                <w:lang w:val="fr-CA"/>
              </w:rPr>
              <w:t xml:space="preserve"> </w:t>
            </w:r>
            <w:r w:rsidRPr="0061020E">
              <w:rPr>
                <w:rFonts w:ascii="Rockwell" w:hAnsi="Rockwell"/>
                <w:sz w:val="24"/>
                <w:szCs w:val="24"/>
                <w:lang w:val="fr-CA"/>
              </w:rPr>
              <w:t>: Systèmes d'indicateurs de Classe 2 pour utilisation lors de l'essai de Bowie et Dick de pénétration de la vapeur</w:t>
            </w:r>
          </w:p>
        </w:tc>
        <w:tc>
          <w:tcPr>
            <w:tcW w:w="2151"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BB456A">
        <w:trPr>
          <w:trHeight w:hRule="exact" w:val="8772"/>
          <w:jc w:val="center"/>
        </w:trPr>
        <w:tc>
          <w:tcPr>
            <w:tcW w:w="1418"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lastRenderedPageBreak/>
              <w:t xml:space="preserve">ISO 11607 </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 xml:space="preserve">ISO 15883 </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17664</w:t>
            </w:r>
          </w:p>
        </w:tc>
        <w:tc>
          <w:tcPr>
            <w:tcW w:w="71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Emballages des dispositifs médicaux stérilisés au stade terminal -- Partie 1: Exigences relatives aux matériaux, aux systèmes de barrière stérile et aux systèmes d'emballage</w:t>
            </w:r>
            <w:r w:rsidRPr="0061020E">
              <w:rPr>
                <w:rFonts w:ascii="Rockwell" w:eastAsia="Calibri" w:hAnsi="Rockwell" w:cs="Calibri"/>
                <w:sz w:val="24"/>
                <w:szCs w:val="24"/>
                <w:lang w:val="fr-CA"/>
              </w:rPr>
              <w:tab/>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1: Exigences générales, termes et définitions et essais</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2: Exigences et essais pour laveurs désinfecteurs destinés à la désinfection thermique des instruments chirurgicaux, du matériel d'anesthésie, des bacs, plats, récipients, ustensiles, de la verrerie, etc.</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3: Exigences et essais pour laveurs désinfecteurs destinés à la désinfection thermique de récipients à déjections humaines</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4: Exigences et essais pour les laveurs désinfecteurs destinés à la désinfection chimique des endoscopes thermolabiles</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4: Exigences et essais pour les laveurs désinfecteurs destinés à la désinfection chimique des endoscopes thermolabiles</w:t>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Laveurs désinfecteurs -- Partie 6: Exigences et essais pour les laveurs désinfecteurs utilisant une désinfection thermique pour les dispositifs médicaux non invasifs, non critiques et pour l'équipement de soins de santé</w:t>
            </w:r>
            <w:r w:rsidRPr="0061020E">
              <w:rPr>
                <w:rFonts w:ascii="Rockwell" w:eastAsia="Calibri" w:hAnsi="Rockwell" w:cs="Calibri"/>
                <w:sz w:val="24"/>
                <w:szCs w:val="24"/>
                <w:lang w:val="fr-CA"/>
              </w:rPr>
              <w:tab/>
            </w: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 xml:space="preserve">Laveurs désinfecteurs -- Partie 7: Exigences et essais pour les laveurs désinfecteurs utilisant la désinfection chimique pour les dispositifs médicaux et les équipements de soins thermosensibles non invasifs et non critiques </w:t>
            </w:r>
          </w:p>
        </w:tc>
        <w:tc>
          <w:tcPr>
            <w:tcW w:w="2151" w:type="dxa"/>
          </w:tcPr>
          <w:p w:rsidR="008C7F3C" w:rsidRPr="0061020E" w:rsidRDefault="008C7F3C" w:rsidP="008F6018">
            <w:pPr>
              <w:pStyle w:val="TableParagraph"/>
              <w:tabs>
                <w:tab w:val="left" w:pos="405"/>
              </w:tabs>
              <w:spacing w:after="120"/>
              <w:jc w:val="both"/>
              <w:rPr>
                <w:rFonts w:ascii="Rockwell" w:eastAsia="Calibri" w:hAnsi="Rockwell" w:cs="Calibri"/>
                <w:sz w:val="24"/>
                <w:szCs w:val="24"/>
                <w:lang w:val="fr-CA"/>
              </w:rPr>
            </w:pPr>
          </w:p>
        </w:tc>
      </w:tr>
    </w:tbl>
    <w:p w:rsidR="00333066" w:rsidRDefault="00333066" w:rsidP="008F6018">
      <w:pPr>
        <w:pStyle w:val="Titre3"/>
        <w:spacing w:before="0" w:after="120" w:line="240" w:lineRule="auto"/>
        <w:ind w:left="720"/>
        <w:jc w:val="both"/>
        <w:rPr>
          <w:rFonts w:ascii="Rockwell" w:hAnsi="Rockwell"/>
          <w:color w:val="auto"/>
          <w:sz w:val="24"/>
          <w:szCs w:val="24"/>
        </w:rPr>
      </w:pPr>
    </w:p>
    <w:p w:rsidR="00333066" w:rsidRDefault="00333066" w:rsidP="008F6018">
      <w:pPr>
        <w:spacing w:after="120" w:line="240" w:lineRule="auto"/>
        <w:rPr>
          <w:rFonts w:ascii="Rockwell" w:eastAsiaTheme="majorEastAsia" w:hAnsi="Rockwell" w:cstheme="majorBidi"/>
          <w:b/>
          <w:bCs/>
          <w:sz w:val="24"/>
          <w:szCs w:val="24"/>
          <w:lang w:val="fr-CA"/>
        </w:rPr>
      </w:pPr>
      <w:r>
        <w:rPr>
          <w:rFonts w:ascii="Rockwell" w:hAnsi="Rockwell"/>
          <w:sz w:val="24"/>
          <w:szCs w:val="24"/>
        </w:rPr>
        <w:br w:type="page"/>
      </w:r>
    </w:p>
    <w:p w:rsidR="008C7F3C" w:rsidRPr="00F03A26" w:rsidRDefault="008C7F3C" w:rsidP="008F6018">
      <w:pPr>
        <w:pStyle w:val="Titre3"/>
        <w:numPr>
          <w:ilvl w:val="0"/>
          <w:numId w:val="104"/>
        </w:numPr>
        <w:spacing w:before="0" w:after="120" w:line="240" w:lineRule="auto"/>
        <w:jc w:val="both"/>
        <w:rPr>
          <w:rFonts w:ascii="Rockwell" w:hAnsi="Rockwell"/>
          <w:color w:val="auto"/>
          <w:sz w:val="24"/>
          <w:szCs w:val="24"/>
        </w:rPr>
      </w:pPr>
      <w:bookmarkStart w:id="621" w:name="_Toc505063338"/>
      <w:r w:rsidRPr="00F03A26">
        <w:rPr>
          <w:rFonts w:ascii="Rockwell" w:hAnsi="Rockwell"/>
          <w:color w:val="auto"/>
          <w:sz w:val="24"/>
          <w:szCs w:val="24"/>
        </w:rPr>
        <w:lastRenderedPageBreak/>
        <w:t>Exigences pour les implants chirurgicaux</w:t>
      </w:r>
      <w:bookmarkEnd w:id="621"/>
    </w:p>
    <w:p w:rsidR="008C7F3C" w:rsidRPr="0061020E" w:rsidRDefault="008C7F3C" w:rsidP="008F6018">
      <w:pPr>
        <w:spacing w:after="120" w:line="240" w:lineRule="auto"/>
        <w:jc w:val="both"/>
        <w:rPr>
          <w:rFonts w:ascii="Rockwell" w:hAnsi="Rockwell"/>
          <w:sz w:val="24"/>
          <w:szCs w:val="24"/>
          <w:lang w:val="fr-CA"/>
        </w:rPr>
      </w:pPr>
    </w:p>
    <w:tbl>
      <w:tblPr>
        <w:tblStyle w:val="Grilledutableau"/>
        <w:tblW w:w="9871" w:type="dxa"/>
        <w:jc w:val="center"/>
        <w:tblLayout w:type="fixed"/>
        <w:tblLook w:val="01E0" w:firstRow="1" w:lastRow="1" w:firstColumn="1" w:lastColumn="1" w:noHBand="0" w:noVBand="0"/>
      </w:tblPr>
      <w:tblGrid>
        <w:gridCol w:w="1985"/>
        <w:gridCol w:w="5953"/>
        <w:gridCol w:w="1933"/>
      </w:tblGrid>
      <w:tr w:rsidR="008C7F3C" w:rsidRPr="006847BA" w:rsidTr="00CF55C0">
        <w:trPr>
          <w:trHeight w:hRule="exact" w:val="914"/>
          <w:jc w:val="center"/>
        </w:trPr>
        <w:tc>
          <w:tcPr>
            <w:tcW w:w="1985" w:type="dxa"/>
          </w:tcPr>
          <w:p w:rsidR="008C7F3C" w:rsidRPr="0061020E" w:rsidRDefault="008C7F3C" w:rsidP="008F6018">
            <w:pPr>
              <w:pStyle w:val="TableParagraph"/>
              <w:spacing w:after="120"/>
              <w:ind w:left="180"/>
              <w:jc w:val="both"/>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5953" w:type="dxa"/>
          </w:tcPr>
          <w:p w:rsidR="008C7F3C" w:rsidRPr="0061020E" w:rsidRDefault="008C7F3C" w:rsidP="008F6018">
            <w:pPr>
              <w:pStyle w:val="TableParagraph"/>
              <w:spacing w:after="120"/>
              <w:ind w:right="1822"/>
              <w:jc w:val="both"/>
              <w:rPr>
                <w:rFonts w:ascii="Rockwell" w:eastAsia="Calibri" w:hAnsi="Rockwell" w:cs="Calibri"/>
                <w:sz w:val="24"/>
                <w:szCs w:val="24"/>
                <w:lang w:val="fr-CA"/>
              </w:rPr>
            </w:pPr>
            <w:r w:rsidRPr="0061020E">
              <w:rPr>
                <w:rFonts w:ascii="Rockwell" w:hAnsi="Rockwell"/>
                <w:b/>
                <w:sz w:val="24"/>
                <w:szCs w:val="24"/>
                <w:lang w:val="fr-CA"/>
              </w:rPr>
              <w:t>Intitulé</w:t>
            </w:r>
          </w:p>
        </w:tc>
        <w:tc>
          <w:tcPr>
            <w:tcW w:w="193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CF55C0">
        <w:trPr>
          <w:trHeight w:hRule="exact" w:val="732"/>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14607:2007</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Implants chirurgicaux non actifs -- Implants mammaires -- Exigences particulières</w:t>
            </w:r>
            <w:r w:rsidRPr="0061020E">
              <w:rPr>
                <w:rFonts w:ascii="Rockwell" w:eastAsia="Calibri" w:hAnsi="Rockwell" w:cs="Calibri"/>
                <w:sz w:val="24"/>
                <w:szCs w:val="24"/>
                <w:lang w:val="fr-CA"/>
              </w:rPr>
              <w:tab/>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1933" w:type="dxa"/>
            <w:vMerge w:val="restart"/>
          </w:tcPr>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 xml:space="preserve">Conf. Normes </w:t>
            </w:r>
          </w:p>
        </w:tc>
      </w:tr>
      <w:tr w:rsidR="008C7F3C" w:rsidRPr="006847BA" w:rsidTr="00CF55C0">
        <w:trPr>
          <w:trHeight w:hRule="exact" w:val="700"/>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ISO/WD 14607</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Implants chirurgicaux non actifs -- Implants mammaires -- Exigences particulières</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33066">
        <w:trPr>
          <w:trHeight w:hRule="exact" w:val="695"/>
          <w:jc w:val="center"/>
        </w:trPr>
        <w:tc>
          <w:tcPr>
            <w:tcW w:w="198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eastAsia="Calibri" w:hAnsi="Rockwell" w:cs="Calibri"/>
                <w:sz w:val="24"/>
                <w:szCs w:val="24"/>
                <w:lang w:val="fr-CA"/>
              </w:rPr>
              <w:t>ISO 14630:2012</w:t>
            </w:r>
          </w:p>
        </w:tc>
        <w:tc>
          <w:tcPr>
            <w:tcW w:w="5953"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eastAsia="Calibri" w:hAnsi="Rockwell" w:cs="Calibri"/>
                <w:sz w:val="24"/>
                <w:szCs w:val="24"/>
                <w:lang w:val="fr-CA"/>
              </w:rPr>
              <w:t>Implants chirurgicaux non actifs -- Exigences générales</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33066">
        <w:trPr>
          <w:trHeight w:hRule="exact" w:val="1130"/>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7151:1988</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Instruments chirurgicaux -- Instruments articulés, non tranchants -- Spécifications générales et méthodes d'essai</w:t>
            </w:r>
            <w:r w:rsidRPr="0061020E">
              <w:rPr>
                <w:rFonts w:ascii="Rockwell" w:eastAsia="Calibri" w:hAnsi="Rockwell" w:cs="Calibri"/>
                <w:sz w:val="24"/>
                <w:szCs w:val="24"/>
                <w:lang w:val="fr-CA"/>
              </w:rPr>
              <w:tab/>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1933" w:type="dxa"/>
            <w:vMerge w:val="restart"/>
          </w:tcPr>
          <w:p w:rsidR="008C7F3C" w:rsidRPr="0061020E" w:rsidRDefault="008C7F3C" w:rsidP="008F6018">
            <w:pPr>
              <w:pStyle w:val="TableParagraph"/>
              <w:spacing w:after="120"/>
              <w:jc w:val="both"/>
              <w:rPr>
                <w:rFonts w:ascii="Rockwell" w:hAnsi="Rockwell"/>
                <w:sz w:val="24"/>
                <w:szCs w:val="24"/>
                <w:lang w:val="fr-CA"/>
              </w:rPr>
            </w:pPr>
          </w:p>
        </w:tc>
      </w:tr>
      <w:tr w:rsidR="008C7F3C" w:rsidRPr="006847BA" w:rsidTr="00333066">
        <w:trPr>
          <w:trHeight w:hRule="exact" w:val="707"/>
          <w:jc w:val="center"/>
        </w:trPr>
        <w:tc>
          <w:tcPr>
            <w:tcW w:w="198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eastAsia="Calibri" w:hAnsi="Rockwell" w:cs="Calibri"/>
                <w:sz w:val="24"/>
                <w:szCs w:val="24"/>
                <w:lang w:val="fr-CA"/>
              </w:rPr>
              <w:t>ISO7153-1</w:t>
            </w:r>
          </w:p>
        </w:tc>
        <w:tc>
          <w:tcPr>
            <w:tcW w:w="5953" w:type="dxa"/>
          </w:tcPr>
          <w:p w:rsidR="008C7F3C" w:rsidRPr="0061020E" w:rsidRDefault="008C7F3C" w:rsidP="008F6018">
            <w:pPr>
              <w:pStyle w:val="TableParagraph"/>
              <w:spacing w:after="120"/>
              <w:jc w:val="both"/>
              <w:rPr>
                <w:rFonts w:ascii="Rockwell" w:hAnsi="Rockwell"/>
                <w:sz w:val="24"/>
                <w:szCs w:val="24"/>
                <w:lang w:val="fr-CA"/>
              </w:rPr>
            </w:pPr>
            <w:r w:rsidRPr="0061020E">
              <w:rPr>
                <w:rFonts w:ascii="Rockwell" w:eastAsia="Calibri" w:hAnsi="Rockwell" w:cs="Calibri"/>
                <w:sz w:val="24"/>
                <w:szCs w:val="24"/>
                <w:lang w:val="fr-CA"/>
              </w:rPr>
              <w:t>Instruments chirurgicaux -- Matériaux -- Partie 1: Métaux</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33066">
        <w:trPr>
          <w:trHeight w:hRule="exact" w:val="724"/>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7740:1985</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Instruments chirurgicaux -- Bistouris à lames détachables -- Dimensions d'assemblage</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33066">
        <w:trPr>
          <w:trHeight w:hRule="exact" w:val="849"/>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7153-1:1991</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Instruments chirurgicaux -- Matériaux métalliques -- Partie 1: Acier inoxydable</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33066">
        <w:trPr>
          <w:trHeight w:hRule="exact" w:val="704"/>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7741:1986</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Instruments chirurgicaux -- Ciseaux et cisailles -- Spécifications générales et méthodes d'essai</w:t>
            </w:r>
            <w:r w:rsidRPr="0061020E">
              <w:rPr>
                <w:rFonts w:ascii="Rockwell" w:eastAsia="Calibri" w:hAnsi="Rockwell" w:cs="Calibri"/>
                <w:sz w:val="24"/>
                <w:szCs w:val="24"/>
                <w:lang w:val="fr-CA"/>
              </w:rPr>
              <w:tab/>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4D04C2">
        <w:trPr>
          <w:trHeight w:hRule="exact" w:val="1557"/>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ISO 13402:1995</w:t>
            </w:r>
          </w:p>
        </w:tc>
        <w:tc>
          <w:tcPr>
            <w:tcW w:w="5953"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eastAsia="Calibri" w:hAnsi="Rockwell" w:cs="Calibri"/>
                <w:sz w:val="24"/>
                <w:szCs w:val="24"/>
                <w:lang w:val="fr-CA"/>
              </w:rPr>
              <w:t>Instruments chirurgicaux et dentaires à main -- Détermination de la résistance au passage à l'autoclave, à la corrosion et à l'exposition à la chaleur</w:t>
            </w:r>
          </w:p>
        </w:tc>
        <w:tc>
          <w:tcPr>
            <w:tcW w:w="193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bl>
    <w:p w:rsidR="008C7F3C" w:rsidRPr="0061020E" w:rsidRDefault="008C7F3C" w:rsidP="008F6018">
      <w:pPr>
        <w:spacing w:after="120" w:line="240" w:lineRule="auto"/>
        <w:jc w:val="both"/>
        <w:rPr>
          <w:rFonts w:ascii="Rockwell" w:hAnsi="Rockwell"/>
          <w:sz w:val="24"/>
          <w:szCs w:val="24"/>
          <w:lang w:val="fr-CA"/>
        </w:rPr>
      </w:pPr>
    </w:p>
    <w:p w:rsidR="008C7F3C" w:rsidRPr="00F03A26" w:rsidRDefault="008C7F3C" w:rsidP="008F6018">
      <w:pPr>
        <w:pStyle w:val="Titre3"/>
        <w:numPr>
          <w:ilvl w:val="0"/>
          <w:numId w:val="104"/>
        </w:numPr>
        <w:spacing w:before="0" w:after="120" w:line="240" w:lineRule="auto"/>
        <w:jc w:val="both"/>
        <w:rPr>
          <w:rFonts w:ascii="Rockwell" w:hAnsi="Rockwell"/>
          <w:color w:val="auto"/>
          <w:sz w:val="24"/>
          <w:szCs w:val="24"/>
        </w:rPr>
      </w:pPr>
      <w:bookmarkStart w:id="622" w:name="_Toc462905240"/>
      <w:bookmarkStart w:id="623" w:name="_Toc462905455"/>
      <w:bookmarkStart w:id="624" w:name="_Toc462906303"/>
      <w:bookmarkStart w:id="625" w:name="_Toc462906444"/>
      <w:bookmarkStart w:id="626" w:name="_Toc462905241"/>
      <w:bookmarkStart w:id="627" w:name="_Toc462905456"/>
      <w:bookmarkStart w:id="628" w:name="_Toc462906304"/>
      <w:bookmarkStart w:id="629" w:name="_Toc462906445"/>
      <w:bookmarkStart w:id="630" w:name="_Toc462905242"/>
      <w:bookmarkStart w:id="631" w:name="_Toc462905457"/>
      <w:bookmarkStart w:id="632" w:name="_Toc462906305"/>
      <w:bookmarkStart w:id="633" w:name="_Toc462906446"/>
      <w:bookmarkStart w:id="634" w:name="_Toc462905243"/>
      <w:bookmarkStart w:id="635" w:name="_Toc462905458"/>
      <w:bookmarkStart w:id="636" w:name="_Toc462906306"/>
      <w:bookmarkStart w:id="637" w:name="_Toc462906447"/>
      <w:bookmarkStart w:id="638" w:name="_Toc462905244"/>
      <w:bookmarkStart w:id="639" w:name="_Toc462905459"/>
      <w:bookmarkStart w:id="640" w:name="_Toc462906307"/>
      <w:bookmarkStart w:id="641" w:name="_Toc462906448"/>
      <w:bookmarkStart w:id="642" w:name="_Toc462905245"/>
      <w:bookmarkStart w:id="643" w:name="_Toc462905460"/>
      <w:bookmarkStart w:id="644" w:name="_Toc462906308"/>
      <w:bookmarkStart w:id="645" w:name="_Toc462906449"/>
      <w:bookmarkStart w:id="646" w:name="_Toc462905246"/>
      <w:bookmarkStart w:id="647" w:name="_Toc462905461"/>
      <w:bookmarkStart w:id="648" w:name="_Toc462906309"/>
      <w:bookmarkStart w:id="649" w:name="_Toc462906450"/>
      <w:bookmarkStart w:id="650" w:name="_Toc462905247"/>
      <w:bookmarkStart w:id="651" w:name="_Toc462905462"/>
      <w:bookmarkStart w:id="652" w:name="_Toc462906310"/>
      <w:bookmarkStart w:id="653" w:name="_Toc462906451"/>
      <w:bookmarkStart w:id="654" w:name="_Toc462905248"/>
      <w:bookmarkStart w:id="655" w:name="_Toc462905463"/>
      <w:bookmarkStart w:id="656" w:name="_Toc462906311"/>
      <w:bookmarkStart w:id="657" w:name="_Toc462906452"/>
      <w:bookmarkStart w:id="658" w:name="_Toc462905249"/>
      <w:bookmarkStart w:id="659" w:name="_Toc462905464"/>
      <w:bookmarkStart w:id="660" w:name="_Toc462906312"/>
      <w:bookmarkStart w:id="661" w:name="_Toc462906453"/>
      <w:bookmarkStart w:id="662" w:name="_Toc462905250"/>
      <w:bookmarkStart w:id="663" w:name="_Toc462905465"/>
      <w:bookmarkStart w:id="664" w:name="_Toc462906313"/>
      <w:bookmarkStart w:id="665" w:name="_Toc462906454"/>
      <w:bookmarkStart w:id="666" w:name="_Toc462905251"/>
      <w:bookmarkStart w:id="667" w:name="_Toc462905466"/>
      <w:bookmarkStart w:id="668" w:name="_Toc462906314"/>
      <w:bookmarkStart w:id="669" w:name="_Toc462906455"/>
      <w:bookmarkStart w:id="670" w:name="_Toc462905252"/>
      <w:bookmarkStart w:id="671" w:name="_Toc462905467"/>
      <w:bookmarkStart w:id="672" w:name="_Toc462906315"/>
      <w:bookmarkStart w:id="673" w:name="_Toc462906456"/>
      <w:bookmarkStart w:id="674" w:name="_Toc462905253"/>
      <w:bookmarkStart w:id="675" w:name="_Toc462905468"/>
      <w:bookmarkStart w:id="676" w:name="_Toc462906316"/>
      <w:bookmarkStart w:id="677" w:name="_Toc462906457"/>
      <w:bookmarkStart w:id="678" w:name="_Toc462905254"/>
      <w:bookmarkStart w:id="679" w:name="_Toc462905469"/>
      <w:bookmarkStart w:id="680" w:name="_Toc462906317"/>
      <w:bookmarkStart w:id="681" w:name="_Toc462906458"/>
      <w:bookmarkStart w:id="682" w:name="_Toc462905255"/>
      <w:bookmarkStart w:id="683" w:name="_Toc462905470"/>
      <w:bookmarkStart w:id="684" w:name="_Toc462906318"/>
      <w:bookmarkStart w:id="685" w:name="_Toc462906459"/>
      <w:bookmarkStart w:id="686" w:name="_Toc462905256"/>
      <w:bookmarkStart w:id="687" w:name="_Toc462905471"/>
      <w:bookmarkStart w:id="688" w:name="_Toc462906319"/>
      <w:bookmarkStart w:id="689" w:name="_Toc462906460"/>
      <w:bookmarkStart w:id="690" w:name="_Toc505063339"/>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F03A26">
        <w:rPr>
          <w:rFonts w:ascii="Rockwell" w:hAnsi="Rockwell"/>
          <w:color w:val="auto"/>
          <w:sz w:val="24"/>
          <w:szCs w:val="24"/>
        </w:rPr>
        <w:t>Exigences normatives dans le domaine de l’énergie solaire/ photovoltaïque</w:t>
      </w:r>
      <w:bookmarkEnd w:id="690"/>
      <w:r w:rsidRPr="00F03A26">
        <w:rPr>
          <w:rFonts w:ascii="Rockwell" w:hAnsi="Rockwell"/>
          <w:color w:val="auto"/>
          <w:sz w:val="24"/>
          <w:szCs w:val="24"/>
        </w:rPr>
        <w:t xml:space="preserve"> </w:t>
      </w:r>
    </w:p>
    <w:p w:rsidR="008C7F3C" w:rsidRPr="0061020E" w:rsidRDefault="008C7F3C" w:rsidP="008F6018">
      <w:pPr>
        <w:spacing w:after="120" w:line="240" w:lineRule="auto"/>
        <w:jc w:val="both"/>
        <w:rPr>
          <w:rFonts w:ascii="Rockwell" w:hAnsi="Rockwell"/>
          <w:sz w:val="24"/>
          <w:szCs w:val="24"/>
          <w:lang w:val="fr-CA"/>
        </w:rPr>
      </w:pPr>
    </w:p>
    <w:tbl>
      <w:tblPr>
        <w:tblStyle w:val="Grilledutableau"/>
        <w:tblW w:w="10465" w:type="dxa"/>
        <w:jc w:val="center"/>
        <w:tblLayout w:type="fixed"/>
        <w:tblLook w:val="01E0" w:firstRow="1" w:lastRow="1" w:firstColumn="1" w:lastColumn="1" w:noHBand="0" w:noVBand="0"/>
      </w:tblPr>
      <w:tblGrid>
        <w:gridCol w:w="1985"/>
        <w:gridCol w:w="6650"/>
        <w:gridCol w:w="1830"/>
      </w:tblGrid>
      <w:tr w:rsidR="008C7F3C" w:rsidRPr="006847BA" w:rsidTr="00486883">
        <w:trPr>
          <w:trHeight w:hRule="exact" w:val="914"/>
          <w:tblHeader/>
          <w:jc w:val="center"/>
        </w:trPr>
        <w:tc>
          <w:tcPr>
            <w:tcW w:w="1985" w:type="dxa"/>
          </w:tcPr>
          <w:p w:rsidR="008C7F3C" w:rsidRPr="0061020E" w:rsidRDefault="008C7F3C" w:rsidP="00486883">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6650" w:type="dxa"/>
          </w:tcPr>
          <w:p w:rsidR="008C7F3C" w:rsidRPr="0061020E" w:rsidRDefault="008C7F3C" w:rsidP="00486883">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1830" w:type="dxa"/>
          </w:tcPr>
          <w:p w:rsidR="008C7F3C" w:rsidRPr="0061020E" w:rsidRDefault="008C7F3C" w:rsidP="00486883">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641EC7">
        <w:trPr>
          <w:trHeight w:hRule="exact" w:val="732"/>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ISO22975-1</w:t>
            </w:r>
          </w:p>
        </w:tc>
        <w:tc>
          <w:tcPr>
            <w:tcW w:w="6650"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Énergie solaire -- Composants et matériaux du collecteur -- Partie 1: Tubes sous vide -- Durabilité et performance</w:t>
            </w:r>
          </w:p>
        </w:tc>
        <w:tc>
          <w:tcPr>
            <w:tcW w:w="1830" w:type="dxa"/>
            <w:vMerge w:val="restart"/>
          </w:tcPr>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Conf. normes</w:t>
            </w:r>
          </w:p>
          <w:p w:rsidR="008C7F3C" w:rsidRPr="0061020E" w:rsidRDefault="008C7F3C" w:rsidP="008F6018">
            <w:pPr>
              <w:pStyle w:val="TableParagraph"/>
              <w:spacing w:after="120"/>
              <w:jc w:val="both"/>
              <w:rPr>
                <w:rFonts w:ascii="Rockwell" w:eastAsia="Calibri" w:hAnsi="Rockwell" w:cs="Calibri"/>
                <w:sz w:val="24"/>
                <w:szCs w:val="24"/>
                <w:lang w:val="fr-CA"/>
              </w:rPr>
            </w:pPr>
          </w:p>
        </w:tc>
      </w:tr>
      <w:tr w:rsidR="008C7F3C" w:rsidRPr="006847BA" w:rsidTr="00641EC7">
        <w:trPr>
          <w:trHeight w:hRule="exact" w:val="965"/>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ISO22975-2</w:t>
            </w:r>
          </w:p>
        </w:tc>
        <w:tc>
          <w:tcPr>
            <w:tcW w:w="6650"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Énergie solaire -- Composants et matériaux du collecteur -- Partie 2: Caloduc pour application thermique solaire -- Durabilité et performance</w:t>
            </w:r>
          </w:p>
        </w:tc>
        <w:tc>
          <w:tcPr>
            <w:tcW w:w="1830"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3F2AB1">
        <w:trPr>
          <w:trHeight w:hRule="exact" w:val="972"/>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CEI 61730-1:2007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Qualification pour la sûreté de fonctionnement des modules photovoltaïques (PV) — Partie 1: Exigences pour la construction </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1005"/>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lastRenderedPageBreak/>
              <w:t xml:space="preserve">CEI 62109-1:2010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Sécurité des convertisseurs de puissance utilisés dans les réseaux d’énergie photovoltaïque — Partie 1: Exigences générales</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7B0020">
        <w:trPr>
          <w:trHeight w:hRule="exact" w:val="988"/>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 CEI 62109-2:2011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Sécurité des convertisseurs de puissance utilisés dans les systèmes photovoltaïques — Partie 2: Exigences particulières pour les onduleurs </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990"/>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CEI 61215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Module photovoltaïques (PV) au silicium cristallin pour application terrestre - Qualification de la conception et homologation</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986"/>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 CEI 61646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Modules photovoltaïques en couches minces pour application terrestre, qualification de la </w:t>
            </w:r>
            <w:r w:rsidR="00FC3529">
              <w:rPr>
                <w:rFonts w:ascii="Rockwell" w:hAnsi="Rockwell"/>
                <w:bCs/>
                <w:color w:val="000000"/>
                <w:sz w:val="24"/>
                <w:szCs w:val="24"/>
              </w:rPr>
              <w:t>conception et homologation.</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720"/>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CEI 61727: 2004</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Systèmes photovoltaïques (PV) - Caractéristiques de l'interface de raccordement au réseau.</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702"/>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 xml:space="preserve">CEI 61723 </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Guide de sécurité pour les systèmes PV raccordés au réseau montés sur les bâtiments</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1002"/>
          <w:jc w:val="center"/>
        </w:trPr>
        <w:tc>
          <w:tcPr>
            <w:tcW w:w="1985"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CEI 60364-7-712 2002</w:t>
            </w:r>
          </w:p>
        </w:tc>
        <w:tc>
          <w:tcPr>
            <w:tcW w:w="6650" w:type="dxa"/>
          </w:tcPr>
          <w:p w:rsidR="008C7F3C" w:rsidRPr="0061020E" w:rsidRDefault="008C7F3C" w:rsidP="008F6018">
            <w:pPr>
              <w:spacing w:after="120"/>
              <w:jc w:val="both"/>
              <w:rPr>
                <w:rFonts w:ascii="Rockwell" w:hAnsi="Rockwell"/>
                <w:bCs/>
                <w:color w:val="000000"/>
                <w:sz w:val="24"/>
                <w:szCs w:val="24"/>
                <w:lang w:val="fr-FR"/>
              </w:rPr>
            </w:pPr>
            <w:r w:rsidRPr="0061020E">
              <w:rPr>
                <w:rFonts w:ascii="Rockwell" w:hAnsi="Rockwell"/>
                <w:bCs/>
                <w:color w:val="000000"/>
                <w:sz w:val="24"/>
                <w:szCs w:val="24"/>
              </w:rPr>
              <w:t>Installations électriques des bâtiments - Partie 7-712 : règles pour les installations et emplacements spéciaux - Alimentations photovoltaïques solaires (PV)</w:t>
            </w:r>
          </w:p>
        </w:tc>
        <w:tc>
          <w:tcPr>
            <w:tcW w:w="1830"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bl>
    <w:p w:rsidR="008C7F3C" w:rsidRPr="0061020E" w:rsidRDefault="008C7F3C" w:rsidP="008F6018">
      <w:pPr>
        <w:spacing w:after="120" w:line="240" w:lineRule="auto"/>
        <w:jc w:val="both"/>
        <w:rPr>
          <w:rFonts w:ascii="Rockwell" w:hAnsi="Rockwell"/>
          <w:sz w:val="24"/>
          <w:szCs w:val="24"/>
          <w:lang w:val="fr-CA"/>
        </w:rPr>
      </w:pPr>
    </w:p>
    <w:p w:rsidR="008C7F3C" w:rsidRDefault="008C7F3C" w:rsidP="008F6018">
      <w:pPr>
        <w:pStyle w:val="Titre3"/>
        <w:numPr>
          <w:ilvl w:val="0"/>
          <w:numId w:val="104"/>
        </w:numPr>
        <w:spacing w:before="0" w:after="120" w:line="240" w:lineRule="auto"/>
        <w:jc w:val="both"/>
        <w:rPr>
          <w:rFonts w:ascii="Rockwell" w:hAnsi="Rockwell"/>
          <w:color w:val="auto"/>
          <w:sz w:val="24"/>
          <w:szCs w:val="24"/>
        </w:rPr>
      </w:pPr>
      <w:bookmarkStart w:id="691" w:name="_Toc505063340"/>
      <w:r w:rsidRPr="0061020E">
        <w:rPr>
          <w:rFonts w:ascii="Rockwell" w:hAnsi="Rockwell"/>
          <w:color w:val="auto"/>
          <w:sz w:val="24"/>
          <w:szCs w:val="24"/>
        </w:rPr>
        <w:t>Exigences normatives pour les contraceptifs non systémiques et barrière prophylactique contre les IST</w:t>
      </w:r>
      <w:bookmarkEnd w:id="691"/>
      <w:r w:rsidRPr="0061020E">
        <w:rPr>
          <w:rFonts w:ascii="Rockwell" w:hAnsi="Rockwell"/>
          <w:color w:val="auto"/>
          <w:sz w:val="24"/>
          <w:szCs w:val="24"/>
        </w:rPr>
        <w:t xml:space="preserve"> </w:t>
      </w:r>
    </w:p>
    <w:p w:rsidR="00FC3529" w:rsidRPr="00FC3529" w:rsidRDefault="00FC3529" w:rsidP="008F6018">
      <w:pPr>
        <w:spacing w:after="120" w:line="240" w:lineRule="auto"/>
        <w:rPr>
          <w:lang w:val="fr-CA"/>
        </w:rPr>
      </w:pPr>
    </w:p>
    <w:tbl>
      <w:tblPr>
        <w:tblStyle w:val="Grilledutableau"/>
        <w:tblW w:w="10803" w:type="dxa"/>
        <w:jc w:val="center"/>
        <w:tblLayout w:type="fixed"/>
        <w:tblLook w:val="01E0" w:firstRow="1" w:lastRow="1" w:firstColumn="1" w:lastColumn="1" w:noHBand="0" w:noVBand="0"/>
      </w:tblPr>
      <w:tblGrid>
        <w:gridCol w:w="1872"/>
        <w:gridCol w:w="6291"/>
        <w:gridCol w:w="2640"/>
      </w:tblGrid>
      <w:tr w:rsidR="008C7F3C" w:rsidRPr="006847BA" w:rsidTr="00486883">
        <w:trPr>
          <w:trHeight w:hRule="exact" w:val="860"/>
          <w:tblHeader/>
          <w:jc w:val="center"/>
        </w:trPr>
        <w:tc>
          <w:tcPr>
            <w:tcW w:w="1872" w:type="dxa"/>
          </w:tcPr>
          <w:p w:rsidR="008C7F3C" w:rsidRPr="0061020E" w:rsidRDefault="008C7F3C" w:rsidP="00486883">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6291" w:type="dxa"/>
          </w:tcPr>
          <w:p w:rsidR="008C7F3C" w:rsidRPr="0061020E" w:rsidRDefault="008C7F3C" w:rsidP="00486883">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2640" w:type="dxa"/>
          </w:tcPr>
          <w:p w:rsidR="008C7F3C" w:rsidRPr="0061020E" w:rsidRDefault="008C7F3C" w:rsidP="00486883">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641EC7">
        <w:trPr>
          <w:trHeight w:hRule="exact" w:val="601"/>
          <w:jc w:val="center"/>
        </w:trPr>
        <w:tc>
          <w:tcPr>
            <w:tcW w:w="1872"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4074</w:t>
            </w:r>
          </w:p>
        </w:tc>
        <w:tc>
          <w:tcPr>
            <w:tcW w:w="629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Préservatifs masculins en latex de caoutchouc naturel -- Exigences et méthodes d'essai</w:t>
            </w:r>
          </w:p>
        </w:tc>
        <w:tc>
          <w:tcPr>
            <w:tcW w:w="2640" w:type="dxa"/>
            <w:vMerge w:val="restart"/>
          </w:tcPr>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Conf. normes</w:t>
            </w:r>
          </w:p>
          <w:p w:rsidR="008C7F3C" w:rsidRPr="0061020E" w:rsidRDefault="008C7F3C" w:rsidP="008F6018">
            <w:pPr>
              <w:pStyle w:val="TableParagraph"/>
              <w:spacing w:after="120"/>
              <w:jc w:val="both"/>
              <w:rPr>
                <w:rFonts w:ascii="Rockwell" w:eastAsia="Calibri" w:hAnsi="Rockwell" w:cs="Calibri"/>
                <w:sz w:val="24"/>
                <w:szCs w:val="24"/>
                <w:lang w:val="fr-CA"/>
              </w:rPr>
            </w:pPr>
          </w:p>
        </w:tc>
      </w:tr>
      <w:tr w:rsidR="008C7F3C" w:rsidRPr="006847BA" w:rsidTr="00FC3529">
        <w:trPr>
          <w:trHeight w:hRule="exact" w:val="626"/>
          <w:jc w:val="center"/>
        </w:trPr>
        <w:tc>
          <w:tcPr>
            <w:tcW w:w="1872"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4074:2014</w:t>
            </w:r>
          </w:p>
        </w:tc>
        <w:tc>
          <w:tcPr>
            <w:tcW w:w="629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Préservatifs masculins en latex de caoutchouc naturel -- Exigences et méthodes d'essai</w:t>
            </w:r>
          </w:p>
        </w:tc>
        <w:tc>
          <w:tcPr>
            <w:tcW w:w="2640"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707"/>
          <w:jc w:val="center"/>
        </w:trPr>
        <w:tc>
          <w:tcPr>
            <w:tcW w:w="1872"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ISO 7439:2015</w:t>
            </w:r>
          </w:p>
        </w:tc>
        <w:tc>
          <w:tcPr>
            <w:tcW w:w="629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Dispositifs contraceptifs intra-utérins contenant du cuivre -- Exigences et essais</w:t>
            </w:r>
          </w:p>
        </w:tc>
        <w:tc>
          <w:tcPr>
            <w:tcW w:w="2640"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FC3529">
        <w:trPr>
          <w:trHeight w:hRule="exact" w:val="858"/>
          <w:jc w:val="center"/>
        </w:trPr>
        <w:tc>
          <w:tcPr>
            <w:tcW w:w="1872"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8009:2014</w:t>
            </w:r>
          </w:p>
        </w:tc>
        <w:tc>
          <w:tcPr>
            <w:tcW w:w="629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Contraceptifs mécaniques -- Diaphragmes contraceptifs réutilisables en caoutchouc -- Performances et essais</w:t>
            </w:r>
          </w:p>
        </w:tc>
        <w:tc>
          <w:tcPr>
            <w:tcW w:w="2640" w:type="dxa"/>
            <w:vMerge/>
          </w:tcPr>
          <w:p w:rsidR="008C7F3C" w:rsidRPr="0061020E" w:rsidRDefault="008C7F3C" w:rsidP="008F6018">
            <w:pPr>
              <w:pStyle w:val="TableParagraph"/>
              <w:spacing w:after="120"/>
              <w:jc w:val="both"/>
              <w:rPr>
                <w:rFonts w:ascii="Rockwell" w:hAnsi="Rockwell"/>
                <w:sz w:val="24"/>
                <w:szCs w:val="24"/>
                <w:lang w:val="fr-CA"/>
              </w:rPr>
            </w:pPr>
          </w:p>
        </w:tc>
      </w:tr>
      <w:tr w:rsidR="008C7F3C" w:rsidRPr="006847BA" w:rsidTr="00FC3529">
        <w:trPr>
          <w:trHeight w:hRule="exact" w:val="984"/>
          <w:jc w:val="center"/>
        </w:trPr>
        <w:tc>
          <w:tcPr>
            <w:tcW w:w="1872"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23409:2011</w:t>
            </w:r>
          </w:p>
        </w:tc>
        <w:tc>
          <w:tcPr>
            <w:tcW w:w="6291" w:type="dxa"/>
          </w:tcPr>
          <w:p w:rsidR="008C7F3C" w:rsidRPr="0061020E" w:rsidRDefault="008C7F3C" w:rsidP="002A5B9C">
            <w:pPr>
              <w:spacing w:after="120"/>
              <w:jc w:val="both"/>
              <w:rPr>
                <w:rFonts w:ascii="Rockwell" w:hAnsi="Rockwell"/>
                <w:sz w:val="24"/>
                <w:szCs w:val="24"/>
                <w:lang w:val="fr-FR"/>
              </w:rPr>
            </w:pPr>
            <w:r w:rsidRPr="0061020E">
              <w:rPr>
                <w:rFonts w:ascii="Rockwell" w:hAnsi="Rockwell"/>
                <w:sz w:val="24"/>
                <w:szCs w:val="24"/>
              </w:rPr>
              <w:t>Préservatifs masculins -- Exigences et méthodes d'essai pour les préservatifs fabriqués en matière synthétique</w:t>
            </w:r>
          </w:p>
        </w:tc>
        <w:tc>
          <w:tcPr>
            <w:tcW w:w="2640"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641EC7">
        <w:trPr>
          <w:trHeight w:hRule="exact" w:val="562"/>
          <w:jc w:val="center"/>
        </w:trPr>
        <w:tc>
          <w:tcPr>
            <w:tcW w:w="1872"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25841:2014</w:t>
            </w:r>
          </w:p>
        </w:tc>
        <w:tc>
          <w:tcPr>
            <w:tcW w:w="6291"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Préservatifs féminins -- Exigences et méthodes d'essai</w:t>
            </w:r>
          </w:p>
        </w:tc>
        <w:tc>
          <w:tcPr>
            <w:tcW w:w="2640"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bl>
    <w:p w:rsidR="00FC3529" w:rsidRDefault="00FC3529" w:rsidP="008F6018">
      <w:pPr>
        <w:spacing w:after="120" w:line="240" w:lineRule="auto"/>
        <w:rPr>
          <w:rFonts w:ascii="Rockwell" w:eastAsiaTheme="majorEastAsia" w:hAnsi="Rockwell" w:cstheme="majorBidi"/>
          <w:bCs/>
          <w:color w:val="5B9BD5" w:themeColor="accent1"/>
          <w:sz w:val="24"/>
          <w:szCs w:val="24"/>
          <w:lang w:val="fr-CA"/>
        </w:rPr>
      </w:pPr>
      <w:r>
        <w:rPr>
          <w:rFonts w:ascii="Rockwell" w:hAnsi="Rockwell"/>
          <w:b/>
          <w:sz w:val="24"/>
          <w:szCs w:val="24"/>
        </w:rPr>
        <w:br w:type="page"/>
      </w:r>
    </w:p>
    <w:p w:rsidR="008C7F3C" w:rsidRPr="00486883" w:rsidRDefault="008C7F3C" w:rsidP="008F6018">
      <w:pPr>
        <w:pStyle w:val="Titre3"/>
        <w:numPr>
          <w:ilvl w:val="0"/>
          <w:numId w:val="104"/>
        </w:numPr>
        <w:spacing w:before="0" w:after="120" w:line="240" w:lineRule="auto"/>
        <w:jc w:val="both"/>
        <w:rPr>
          <w:rFonts w:ascii="Rockwell" w:hAnsi="Rockwell"/>
          <w:color w:val="auto"/>
          <w:sz w:val="24"/>
          <w:szCs w:val="24"/>
        </w:rPr>
      </w:pPr>
      <w:bookmarkStart w:id="692" w:name="_Toc505063341"/>
      <w:r w:rsidRPr="00486883">
        <w:rPr>
          <w:rFonts w:ascii="Rockwell" w:hAnsi="Rockwell"/>
          <w:color w:val="auto"/>
          <w:sz w:val="24"/>
          <w:szCs w:val="24"/>
        </w:rPr>
        <w:lastRenderedPageBreak/>
        <w:t>Exigences relatives aux cycles et cyclomoteurs</w:t>
      </w:r>
      <w:bookmarkEnd w:id="692"/>
    </w:p>
    <w:tbl>
      <w:tblPr>
        <w:tblStyle w:val="Grilledutableau"/>
        <w:tblW w:w="10875" w:type="dxa"/>
        <w:jc w:val="center"/>
        <w:tblLayout w:type="fixed"/>
        <w:tblLook w:val="01E0" w:firstRow="1" w:lastRow="1" w:firstColumn="1" w:lastColumn="1" w:noHBand="0" w:noVBand="0"/>
      </w:tblPr>
      <w:tblGrid>
        <w:gridCol w:w="1985"/>
        <w:gridCol w:w="6147"/>
        <w:gridCol w:w="2743"/>
      </w:tblGrid>
      <w:tr w:rsidR="008C7F3C" w:rsidRPr="006847BA" w:rsidTr="00641EC7">
        <w:trPr>
          <w:trHeight w:hRule="exact" w:val="914"/>
          <w:jc w:val="center"/>
        </w:trPr>
        <w:tc>
          <w:tcPr>
            <w:tcW w:w="1985" w:type="dxa"/>
          </w:tcPr>
          <w:p w:rsidR="008C7F3C" w:rsidRPr="0061020E" w:rsidRDefault="008C7F3C" w:rsidP="00CF0D05">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6147" w:type="dxa"/>
          </w:tcPr>
          <w:p w:rsidR="008C7F3C" w:rsidRPr="0061020E" w:rsidRDefault="008C7F3C" w:rsidP="00CF0D05">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2743" w:type="dxa"/>
          </w:tcPr>
          <w:p w:rsidR="008C7F3C" w:rsidRPr="0061020E" w:rsidRDefault="008C7F3C" w:rsidP="00CF0D05">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641EC7">
        <w:trPr>
          <w:trHeight w:hRule="exact" w:val="431"/>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6692:1981</w:t>
            </w: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Cycles -- Marquage des pièces de cycles</w:t>
            </w:r>
          </w:p>
        </w:tc>
        <w:tc>
          <w:tcPr>
            <w:tcW w:w="2743" w:type="dxa"/>
            <w:vMerge w:val="restart"/>
          </w:tcPr>
          <w:p w:rsidR="008C7F3C" w:rsidRPr="0061020E" w:rsidRDefault="008C7F3C" w:rsidP="008F6018">
            <w:pPr>
              <w:pStyle w:val="TableParagraph"/>
              <w:spacing w:after="120"/>
              <w:jc w:val="both"/>
              <w:rPr>
                <w:rFonts w:ascii="Rockwell" w:hAnsi="Rockwell"/>
                <w:sz w:val="24"/>
                <w:szCs w:val="24"/>
                <w:lang w:val="fr-CA"/>
              </w:rPr>
            </w:pPr>
          </w:p>
          <w:p w:rsidR="008C7F3C" w:rsidRPr="0061020E" w:rsidRDefault="008C7F3C" w:rsidP="008F6018">
            <w:pPr>
              <w:pStyle w:val="TableParagraph"/>
              <w:spacing w:after="120"/>
              <w:jc w:val="both"/>
              <w:rPr>
                <w:rFonts w:ascii="Rockwell" w:hAnsi="Rockwell"/>
                <w:sz w:val="24"/>
                <w:szCs w:val="24"/>
                <w:lang w:val="fr-CA"/>
              </w:rPr>
            </w:pPr>
            <w:r w:rsidRPr="0061020E">
              <w:rPr>
                <w:rFonts w:ascii="Rockwell" w:hAnsi="Rockwell"/>
                <w:sz w:val="24"/>
                <w:szCs w:val="24"/>
                <w:lang w:val="fr-CA"/>
              </w:rPr>
              <w:t>Inclus dans les normes</w:t>
            </w:r>
          </w:p>
          <w:p w:rsidR="008C7F3C" w:rsidRPr="0061020E" w:rsidRDefault="008C7F3C" w:rsidP="008F6018">
            <w:pPr>
              <w:pStyle w:val="TableParagraph"/>
              <w:spacing w:after="120"/>
              <w:jc w:val="both"/>
              <w:rPr>
                <w:rFonts w:ascii="Rockwell" w:eastAsia="Calibri" w:hAnsi="Rockwell" w:cs="Calibri"/>
                <w:sz w:val="24"/>
                <w:szCs w:val="24"/>
                <w:lang w:val="fr-CA"/>
              </w:rPr>
            </w:pPr>
          </w:p>
        </w:tc>
      </w:tr>
      <w:tr w:rsidR="008C7F3C" w:rsidRPr="006847BA" w:rsidTr="00412298">
        <w:trPr>
          <w:trHeight w:hRule="exact" w:val="744"/>
          <w:jc w:val="center"/>
        </w:trPr>
        <w:tc>
          <w:tcPr>
            <w:tcW w:w="1985" w:type="dxa"/>
          </w:tcPr>
          <w:p w:rsidR="008C7F3C" w:rsidRPr="0061020E" w:rsidRDefault="008C7F3C" w:rsidP="008F6018">
            <w:pPr>
              <w:pStyle w:val="TableParagraph"/>
              <w:spacing w:after="120"/>
              <w:jc w:val="both"/>
              <w:rPr>
                <w:rFonts w:ascii="Rockwell" w:eastAsia="Calibri" w:hAnsi="Rockwell" w:cs="Calibri"/>
                <w:b/>
                <w:bCs/>
                <w:sz w:val="24"/>
                <w:szCs w:val="24"/>
                <w:lang w:val="fr-CA"/>
              </w:rPr>
            </w:pPr>
            <w:r w:rsidRPr="0061020E">
              <w:rPr>
                <w:rFonts w:ascii="Rockwell" w:hAnsi="Rockwell"/>
                <w:sz w:val="24"/>
                <w:szCs w:val="24"/>
                <w:lang w:val="fr-CA"/>
              </w:rPr>
              <w:t>ISO/FDIS 6695</w:t>
            </w: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Cycles -- Axe de pédalier et manivelle à emmanchement carré -- Dimensions d'assemblage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641EC7">
        <w:trPr>
          <w:trHeight w:hRule="exact" w:val="412"/>
          <w:jc w:val="center"/>
        </w:trPr>
        <w:tc>
          <w:tcPr>
            <w:tcW w:w="1985" w:type="dxa"/>
          </w:tcPr>
          <w:p w:rsidR="008C7F3C" w:rsidRPr="0061020E" w:rsidRDefault="008C7F3C" w:rsidP="008F6018">
            <w:pPr>
              <w:pStyle w:val="TableParagraph"/>
              <w:spacing w:after="120"/>
              <w:jc w:val="both"/>
              <w:rPr>
                <w:rFonts w:ascii="Rockwell" w:eastAsia="Calibri" w:hAnsi="Rockwell" w:cs="Calibri"/>
                <w:sz w:val="24"/>
                <w:szCs w:val="24"/>
                <w:lang w:val="fr-CA"/>
              </w:rPr>
            </w:pPr>
            <w:r w:rsidRPr="0061020E">
              <w:rPr>
                <w:rFonts w:ascii="Rockwell" w:hAnsi="Rockwell"/>
                <w:sz w:val="24"/>
                <w:szCs w:val="24"/>
                <w:lang w:val="fr-CA"/>
              </w:rPr>
              <w:t>ISO 8562:1990</w:t>
            </w: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Cycles -- Angle du coin de serrage de potence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641EC7">
        <w:trPr>
          <w:trHeight w:hRule="exact" w:val="574"/>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4106:2012</w:t>
            </w:r>
          </w:p>
          <w:p w:rsidR="008C7F3C" w:rsidRPr="0061020E" w:rsidRDefault="008C7F3C" w:rsidP="008F6018">
            <w:pPr>
              <w:pStyle w:val="TableParagraph"/>
              <w:spacing w:after="120"/>
              <w:jc w:val="both"/>
              <w:rPr>
                <w:rFonts w:ascii="Rockwell" w:hAnsi="Rockwell"/>
                <w:sz w:val="24"/>
                <w:szCs w:val="24"/>
                <w:lang w:val="fr-CA"/>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Motocycles -- Code d'essai des moteurs -- Puissance nette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641EC7">
        <w:trPr>
          <w:trHeight w:hRule="exact" w:val="574"/>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4164:2012</w:t>
            </w:r>
          </w:p>
          <w:p w:rsidR="008C7F3C" w:rsidRPr="0061020E" w:rsidRDefault="008C7F3C" w:rsidP="008F6018">
            <w:pPr>
              <w:pStyle w:val="TableParagraph"/>
              <w:spacing w:after="120"/>
              <w:jc w:val="both"/>
              <w:rPr>
                <w:rFonts w:ascii="Rockwell" w:hAnsi="Rockwell"/>
                <w:sz w:val="24"/>
                <w:szCs w:val="24"/>
                <w:lang w:val="fr-CA"/>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 Code d'essai des moteurs -- Puissance nette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412298">
        <w:trPr>
          <w:trHeight w:hRule="exact" w:val="692"/>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9565:1990</w:t>
            </w:r>
          </w:p>
          <w:p w:rsidR="008C7F3C" w:rsidRPr="0061020E" w:rsidRDefault="008C7F3C" w:rsidP="008F6018">
            <w:pPr>
              <w:pStyle w:val="TableParagraph"/>
              <w:spacing w:after="120"/>
              <w:jc w:val="both"/>
              <w:rPr>
                <w:rFonts w:ascii="Rockwell" w:hAnsi="Rockwell"/>
                <w:sz w:val="24"/>
                <w:szCs w:val="24"/>
                <w:lang w:val="fr-CA"/>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Motocycles à deux roues -- Stabilité de stationnement offerte par les béquilles latérales et centrales</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412298">
        <w:trPr>
          <w:trHeight w:hRule="exact" w:val="702"/>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13063:2012</w:t>
            </w:r>
          </w:p>
          <w:p w:rsidR="008C7F3C" w:rsidRPr="0061020E" w:rsidRDefault="008C7F3C" w:rsidP="008F6018">
            <w:pPr>
              <w:spacing w:after="120"/>
              <w:jc w:val="both"/>
              <w:rPr>
                <w:rFonts w:ascii="Rockwell" w:hAnsi="Rockwell"/>
                <w:sz w:val="24"/>
                <w:szCs w:val="24"/>
                <w:lang w:val="fr-FR"/>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et motocycles à propulsion électrique -- Spécifications de sécurité</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412298">
        <w:trPr>
          <w:trHeight w:hRule="exact" w:val="855"/>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13064-1:2012</w:t>
            </w:r>
          </w:p>
          <w:p w:rsidR="008C7F3C" w:rsidRPr="0061020E" w:rsidRDefault="008C7F3C" w:rsidP="008F6018">
            <w:pPr>
              <w:spacing w:after="120"/>
              <w:jc w:val="both"/>
              <w:rPr>
                <w:rFonts w:ascii="Rockwell" w:hAnsi="Rockwell"/>
                <w:sz w:val="24"/>
                <w:szCs w:val="24"/>
                <w:lang w:val="fr-FR"/>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et motocycles électriques -- Performance -- Partie 1: Consommation énergétique de référence et autonomie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24"/>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13064-2:2012</w:t>
            </w:r>
          </w:p>
          <w:p w:rsidR="008C7F3C" w:rsidRPr="0061020E" w:rsidRDefault="008C7F3C" w:rsidP="008F6018">
            <w:pPr>
              <w:spacing w:after="120"/>
              <w:jc w:val="both"/>
              <w:rPr>
                <w:rFonts w:ascii="Rockwell" w:hAnsi="Rockwell"/>
                <w:sz w:val="24"/>
                <w:szCs w:val="24"/>
                <w:lang w:val="fr-FR"/>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et motocycles électriques -- Performance -- Partie 2: Caractéristiques d'utilisation sur route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641EC7">
        <w:trPr>
          <w:trHeight w:hRule="exact" w:val="574"/>
          <w:jc w:val="center"/>
        </w:trPr>
        <w:tc>
          <w:tcPr>
            <w:tcW w:w="198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ISO/PAS 19695:2015</w:t>
            </w:r>
          </w:p>
          <w:p w:rsidR="008C7F3C" w:rsidRPr="0061020E" w:rsidRDefault="008C7F3C" w:rsidP="008F6018">
            <w:pPr>
              <w:spacing w:after="120"/>
              <w:jc w:val="both"/>
              <w:rPr>
                <w:rFonts w:ascii="Rockwell" w:hAnsi="Rockwell"/>
                <w:sz w:val="24"/>
                <w:szCs w:val="24"/>
                <w:lang w:val="fr-FR"/>
              </w:rPr>
            </w:pPr>
          </w:p>
        </w:tc>
        <w:tc>
          <w:tcPr>
            <w:tcW w:w="6147"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Motocycles -- Sécurité fonctionnelle</w:t>
            </w:r>
          </w:p>
        </w:tc>
        <w:tc>
          <w:tcPr>
            <w:tcW w:w="2743"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bl>
    <w:p w:rsidR="008C7F3C" w:rsidRPr="0061020E" w:rsidRDefault="008C7F3C" w:rsidP="008F6018">
      <w:pPr>
        <w:spacing w:after="120" w:line="240" w:lineRule="auto"/>
        <w:jc w:val="both"/>
        <w:rPr>
          <w:rFonts w:ascii="Rockwell" w:hAnsi="Rockwell"/>
          <w:sz w:val="24"/>
          <w:szCs w:val="24"/>
          <w:lang w:val="fr-CA"/>
        </w:rPr>
      </w:pPr>
    </w:p>
    <w:p w:rsidR="008C7F3C" w:rsidRPr="00CF0D05" w:rsidRDefault="00133ACC" w:rsidP="008F6018">
      <w:pPr>
        <w:pStyle w:val="Titre3"/>
        <w:numPr>
          <w:ilvl w:val="0"/>
          <w:numId w:val="104"/>
        </w:numPr>
        <w:spacing w:before="0" w:after="120" w:line="240" w:lineRule="auto"/>
        <w:jc w:val="both"/>
        <w:rPr>
          <w:rFonts w:ascii="Rockwell" w:hAnsi="Rockwell"/>
          <w:color w:val="auto"/>
          <w:sz w:val="24"/>
          <w:szCs w:val="24"/>
        </w:rPr>
      </w:pPr>
      <w:bookmarkStart w:id="693" w:name="_Toc505063342"/>
      <w:r w:rsidRPr="00CF0D05">
        <w:rPr>
          <w:rFonts w:ascii="Rockwell" w:hAnsi="Rockwell"/>
          <w:color w:val="auto"/>
          <w:sz w:val="24"/>
          <w:szCs w:val="24"/>
        </w:rPr>
        <w:t>E</w:t>
      </w:r>
      <w:r w:rsidR="008C7F3C" w:rsidRPr="00CF0D05">
        <w:rPr>
          <w:rFonts w:ascii="Rockwell" w:hAnsi="Rockwell"/>
          <w:color w:val="auto"/>
          <w:sz w:val="24"/>
          <w:szCs w:val="24"/>
        </w:rPr>
        <w:t>xigences normatives pour les véhicules routiers</w:t>
      </w:r>
      <w:bookmarkEnd w:id="693"/>
    </w:p>
    <w:p w:rsidR="00E3243A" w:rsidRPr="00E3243A" w:rsidRDefault="00E3243A" w:rsidP="008F6018">
      <w:pPr>
        <w:spacing w:after="120" w:line="240" w:lineRule="auto"/>
        <w:rPr>
          <w:lang w:val="fr-CA"/>
        </w:rPr>
      </w:pPr>
    </w:p>
    <w:tbl>
      <w:tblPr>
        <w:tblStyle w:val="Grilledutableau"/>
        <w:tblW w:w="10910" w:type="dxa"/>
        <w:jc w:val="center"/>
        <w:tblLayout w:type="fixed"/>
        <w:tblLook w:val="01E0" w:firstRow="1" w:lastRow="1" w:firstColumn="1" w:lastColumn="1" w:noHBand="0" w:noVBand="0"/>
      </w:tblPr>
      <w:tblGrid>
        <w:gridCol w:w="2025"/>
        <w:gridCol w:w="6198"/>
        <w:gridCol w:w="2687"/>
      </w:tblGrid>
      <w:tr w:rsidR="008C7F3C" w:rsidRPr="006847BA" w:rsidTr="00CF0D05">
        <w:trPr>
          <w:trHeight w:hRule="exact" w:val="914"/>
          <w:tblHeader/>
          <w:jc w:val="center"/>
        </w:trPr>
        <w:tc>
          <w:tcPr>
            <w:tcW w:w="2025" w:type="dxa"/>
          </w:tcPr>
          <w:p w:rsidR="008C7F3C" w:rsidRPr="0061020E" w:rsidRDefault="008C7F3C" w:rsidP="00CF0D05">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Réf.</w:t>
            </w:r>
            <w:r w:rsidRPr="0061020E">
              <w:rPr>
                <w:rFonts w:ascii="Rockwell" w:hAnsi="Rockwell"/>
                <w:b/>
                <w:spacing w:val="-5"/>
                <w:sz w:val="24"/>
                <w:szCs w:val="24"/>
                <w:lang w:val="fr-CA"/>
              </w:rPr>
              <w:t xml:space="preserve"> </w:t>
            </w:r>
            <w:r w:rsidRPr="0061020E">
              <w:rPr>
                <w:rFonts w:ascii="Rockwell" w:hAnsi="Rockwell"/>
                <w:b/>
                <w:sz w:val="24"/>
                <w:szCs w:val="24"/>
                <w:lang w:val="fr-CA"/>
              </w:rPr>
              <w:t>internationale</w:t>
            </w:r>
          </w:p>
        </w:tc>
        <w:tc>
          <w:tcPr>
            <w:tcW w:w="6198" w:type="dxa"/>
          </w:tcPr>
          <w:p w:rsidR="008C7F3C" w:rsidRPr="0061020E" w:rsidRDefault="008C7F3C" w:rsidP="00CF0D05">
            <w:pPr>
              <w:pStyle w:val="TableParagraph"/>
              <w:spacing w:after="120"/>
              <w:ind w:right="1822"/>
              <w:jc w:val="center"/>
              <w:rPr>
                <w:rFonts w:ascii="Rockwell" w:eastAsia="Calibri" w:hAnsi="Rockwell" w:cs="Calibri"/>
                <w:sz w:val="24"/>
                <w:szCs w:val="24"/>
                <w:lang w:val="fr-CA"/>
              </w:rPr>
            </w:pPr>
            <w:r w:rsidRPr="0061020E">
              <w:rPr>
                <w:rFonts w:ascii="Rockwell" w:hAnsi="Rockwell"/>
                <w:b/>
                <w:sz w:val="24"/>
                <w:szCs w:val="24"/>
                <w:lang w:val="fr-CA"/>
              </w:rPr>
              <w:t>Intitulé</w:t>
            </w:r>
          </w:p>
        </w:tc>
        <w:tc>
          <w:tcPr>
            <w:tcW w:w="2687" w:type="dxa"/>
          </w:tcPr>
          <w:p w:rsidR="008C7F3C" w:rsidRPr="0061020E" w:rsidRDefault="008C7F3C" w:rsidP="00CF0D05">
            <w:pPr>
              <w:pStyle w:val="TableParagraph"/>
              <w:spacing w:after="120"/>
              <w:jc w:val="center"/>
              <w:rPr>
                <w:rFonts w:ascii="Rockwell" w:eastAsia="Calibri" w:hAnsi="Rockwell" w:cs="Calibri"/>
                <w:sz w:val="24"/>
                <w:szCs w:val="24"/>
                <w:lang w:val="fr-CA"/>
              </w:rPr>
            </w:pPr>
            <w:r w:rsidRPr="0061020E">
              <w:rPr>
                <w:rFonts w:ascii="Rockwell" w:hAnsi="Rockwell"/>
                <w:b/>
                <w:sz w:val="24"/>
                <w:szCs w:val="24"/>
                <w:lang w:val="fr-CA"/>
              </w:rPr>
              <w:t>Critères de</w:t>
            </w:r>
            <w:r w:rsidRPr="0061020E">
              <w:rPr>
                <w:rFonts w:ascii="Rockwell" w:hAnsi="Rockwell"/>
                <w:b/>
                <w:spacing w:val="-10"/>
                <w:sz w:val="24"/>
                <w:szCs w:val="24"/>
                <w:lang w:val="fr-CA"/>
              </w:rPr>
              <w:t xml:space="preserve"> </w:t>
            </w:r>
            <w:r w:rsidRPr="0061020E">
              <w:rPr>
                <w:rFonts w:ascii="Rockwell" w:hAnsi="Rockwell"/>
                <w:b/>
                <w:sz w:val="24"/>
                <w:szCs w:val="24"/>
                <w:lang w:val="fr-CA"/>
              </w:rPr>
              <w:t>performance et de sécurité</w:t>
            </w:r>
          </w:p>
        </w:tc>
      </w:tr>
      <w:tr w:rsidR="008C7F3C" w:rsidRPr="006847BA" w:rsidTr="00CF0D05">
        <w:trPr>
          <w:trHeight w:hRule="exact" w:val="861"/>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1103:2007</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Boules d'attelage pour caravanes et remorques légères -- Caractéristiques dimensionnelles</w:t>
            </w:r>
          </w:p>
        </w:tc>
        <w:tc>
          <w:tcPr>
            <w:tcW w:w="2687" w:type="dxa"/>
            <w:vMerge w:val="restart"/>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r w:rsidRPr="0061020E">
              <w:rPr>
                <w:rFonts w:ascii="Rockwell" w:eastAsia="Calibri" w:hAnsi="Rockwell" w:cs="Calibri"/>
                <w:sz w:val="24"/>
                <w:szCs w:val="24"/>
                <w:lang w:val="fr-CA"/>
              </w:rPr>
              <w:t>Inclus dans les normes</w:t>
            </w:r>
          </w:p>
        </w:tc>
      </w:tr>
      <w:tr w:rsidR="008C7F3C" w:rsidRPr="006847BA" w:rsidTr="00CF0D05">
        <w:trPr>
          <w:trHeight w:hRule="exact" w:val="55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2416:1992</w:t>
            </w:r>
          </w:p>
          <w:p w:rsidR="008C7F3C" w:rsidRPr="0061020E" w:rsidRDefault="008C7F3C" w:rsidP="008F6018">
            <w:pPr>
              <w:pStyle w:val="TableParagraph"/>
              <w:spacing w:after="120"/>
              <w:jc w:val="both"/>
              <w:rPr>
                <w:rFonts w:ascii="Rockwell" w:eastAsia="Calibri" w:hAnsi="Rockwell" w:cs="Calibri"/>
                <w:b/>
                <w:bCs/>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Voitures particulières -- Répartition des masses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650"/>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2958:1973</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Protection extérieure des voitures particulières</w:t>
            </w:r>
          </w:p>
        </w:tc>
        <w:tc>
          <w:tcPr>
            <w:tcW w:w="2687" w:type="dxa"/>
            <w:vMerge/>
          </w:tcPr>
          <w:p w:rsidR="008C7F3C" w:rsidRPr="0061020E" w:rsidRDefault="008C7F3C" w:rsidP="008F6018">
            <w:pPr>
              <w:pStyle w:val="TableParagraph"/>
              <w:spacing w:after="120"/>
              <w:jc w:val="both"/>
              <w:rPr>
                <w:rFonts w:ascii="Rockwell" w:hAnsi="Rockwell"/>
                <w:sz w:val="24"/>
                <w:szCs w:val="24"/>
                <w:lang w:val="fr-CA"/>
              </w:rPr>
            </w:pPr>
          </w:p>
        </w:tc>
      </w:tr>
      <w:tr w:rsidR="008C7F3C" w:rsidRPr="006847BA" w:rsidTr="00CF0D05">
        <w:trPr>
          <w:trHeight w:hRule="exact" w:val="713"/>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3409:1975</w:t>
            </w:r>
          </w:p>
          <w:p w:rsidR="008C7F3C" w:rsidRPr="0061020E" w:rsidRDefault="008C7F3C" w:rsidP="008F6018">
            <w:pPr>
              <w:pStyle w:val="TableParagraph"/>
              <w:spacing w:after="120"/>
              <w:jc w:val="both"/>
              <w:rPr>
                <w:rFonts w:ascii="Rockwell" w:eastAsia="Calibri" w:hAnsi="Rockwell" w:cs="Calibri"/>
                <w:b/>
                <w:bCs/>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Voitures particulières -- Positionnement transversal des commandes au pied</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699"/>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3911:2004</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Roues et jantes pour pneumatiques -- Vocabulaire, désignation et marquage</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82"/>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3958:1996</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Voitures particulières -- Portée des mains du conducteur</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72"/>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3996:1995</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Flexibles pour dispositifs de freinage hydraulique utilisant un liquide de frein à base non pétrolière</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32"/>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lastRenderedPageBreak/>
              <w:t>ISO 4038:1996</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Dispositifs de freinage hydraulique -- Tuyauteries à simple renflement, logements, raccords mâles et embouts de flexibles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718"/>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4107:2010</w:t>
            </w:r>
          </w:p>
          <w:p w:rsidR="008C7F3C" w:rsidRPr="0061020E" w:rsidRDefault="008C7F3C" w:rsidP="008F6018">
            <w:pPr>
              <w:pStyle w:val="TableParagraph"/>
              <w:spacing w:after="120"/>
              <w:jc w:val="both"/>
              <w:rPr>
                <w:rFonts w:ascii="Rockwell" w:eastAsia="Calibri" w:hAnsi="Rockwell" w:cs="Calibri"/>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utilitaires -- Caractéristiques dimensionnelles de la fixation de la roue sur le moyeu</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4131:1979</w:t>
            </w:r>
          </w:p>
          <w:p w:rsidR="008C7F3C" w:rsidRPr="0061020E" w:rsidRDefault="008C7F3C" w:rsidP="008F6018">
            <w:pPr>
              <w:pStyle w:val="TableParagraph"/>
              <w:spacing w:after="120"/>
              <w:jc w:val="both"/>
              <w:rPr>
                <w:rFonts w:ascii="Rockwell" w:hAnsi="Rockwell"/>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Code de dimensions pour voitures particulières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4148:2004</w:t>
            </w:r>
          </w:p>
          <w:p w:rsidR="008C7F3C" w:rsidRPr="0061020E" w:rsidRDefault="008C7F3C" w:rsidP="008F6018">
            <w:pPr>
              <w:pStyle w:val="TableParagraph"/>
              <w:spacing w:after="120"/>
              <w:jc w:val="both"/>
              <w:rPr>
                <w:rFonts w:ascii="Rockwell" w:hAnsi="Rockwell"/>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 xml:space="preserve">Véhicules routiers -- Feux spéciaux d'avertissement </w:t>
            </w:r>
            <w:r w:rsidR="00FF73F9" w:rsidRPr="0061020E">
              <w:rPr>
                <w:rFonts w:ascii="Rockwell" w:hAnsi="Rockwell"/>
                <w:sz w:val="24"/>
                <w:szCs w:val="24"/>
              </w:rPr>
              <w:t>–</w:t>
            </w:r>
            <w:r w:rsidRPr="0061020E">
              <w:rPr>
                <w:rFonts w:ascii="Rockwell" w:hAnsi="Rockwell"/>
                <w:sz w:val="24"/>
                <w:szCs w:val="24"/>
              </w:rPr>
              <w:t xml:space="preserve"> Dimensions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4925:2005</w:t>
            </w:r>
          </w:p>
          <w:p w:rsidR="008C7F3C" w:rsidRPr="0061020E" w:rsidRDefault="008C7F3C" w:rsidP="008F6018">
            <w:pPr>
              <w:pStyle w:val="TableParagraph"/>
              <w:spacing w:after="120"/>
              <w:jc w:val="both"/>
              <w:rPr>
                <w:rFonts w:ascii="Rockwell" w:hAnsi="Rockwell"/>
                <w:sz w:val="24"/>
                <w:szCs w:val="24"/>
                <w:lang w:val="fr-CA"/>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Spécifications pour liquides de frein à base non pétrolière pour systèmes hydrauliques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50"/>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4926:2006</w:t>
            </w:r>
          </w:p>
          <w:p w:rsidR="008C7F3C" w:rsidRPr="0061020E" w:rsidRDefault="008C7F3C" w:rsidP="008F6018">
            <w:pPr>
              <w:spacing w:after="120"/>
              <w:jc w:val="both"/>
              <w:rPr>
                <w:rFonts w:ascii="Rockwell" w:hAnsi="Rockwell"/>
                <w:sz w:val="24"/>
                <w:szCs w:val="24"/>
                <w:lang w:val="fr-FR"/>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Systèmes de freinage hydrauliques -- Liquides de référence à base non pétrolière</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6415:2005</w:t>
            </w:r>
          </w:p>
          <w:p w:rsidR="008C7F3C" w:rsidRPr="0061020E" w:rsidRDefault="008C7F3C" w:rsidP="008F6018">
            <w:pPr>
              <w:spacing w:after="120"/>
              <w:jc w:val="both"/>
              <w:rPr>
                <w:rFonts w:ascii="Rockwell" w:hAnsi="Rockwell"/>
                <w:sz w:val="24"/>
                <w:szCs w:val="24"/>
                <w:lang w:val="fr-FR"/>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 xml:space="preserve">Moteurs à combustion interne -- Filtres à huile vissés </w:t>
            </w:r>
            <w:r w:rsidR="00FF73F9" w:rsidRPr="0061020E">
              <w:rPr>
                <w:rFonts w:ascii="Rockwell" w:hAnsi="Rockwell"/>
                <w:sz w:val="24"/>
                <w:szCs w:val="24"/>
              </w:rPr>
              <w:t>–</w:t>
            </w:r>
            <w:r w:rsidRPr="0061020E">
              <w:rPr>
                <w:rFonts w:ascii="Rockwell" w:hAnsi="Rockwell"/>
                <w:sz w:val="24"/>
                <w:szCs w:val="24"/>
              </w:rPr>
              <w:t xml:space="preserve"> Dimensions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86"/>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6518-2:1995</w:t>
            </w:r>
          </w:p>
          <w:p w:rsidR="008C7F3C" w:rsidRPr="0061020E" w:rsidRDefault="008C7F3C" w:rsidP="008F6018">
            <w:pPr>
              <w:spacing w:after="120"/>
              <w:jc w:val="both"/>
              <w:rPr>
                <w:rFonts w:ascii="Rockwell" w:hAnsi="Rockwell"/>
                <w:sz w:val="24"/>
                <w:szCs w:val="24"/>
                <w:lang w:val="fr-FR"/>
              </w:rPr>
            </w:pPr>
          </w:p>
        </w:tc>
        <w:tc>
          <w:tcPr>
            <w:tcW w:w="6198"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Systèmes d'allumage -- Partie 2: Performances électriques et méthodes d'essai de fonctionnement</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6621-3:2000</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Moteurs à combustion interne -- Segments de piston -- Partie 3: Spécifications des matériaux</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697"/>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6621-4:2015</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Moteurs à combustion interne -- Segments de piston -- Partie 4: Spécifications générales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706"/>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6621-5:2013</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Moteurs à combustion interne -- Segments de piston -- Partie 5: Exigences de qualité</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7656:1993</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utilitaires -- Codes dimensionnels</w:t>
            </w:r>
          </w:p>
        </w:tc>
        <w:tc>
          <w:tcPr>
            <w:tcW w:w="2687" w:type="dxa"/>
            <w:vMerge/>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8720:1991</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Voitures particulières -- Spécifications des crics mécaniques</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693"/>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10355:2004</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 Position des dispositifs d'éclairage et de signalisation lumineuse</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11055:1996</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Volant moteur pour moteur alternatif à combustion interne -- Dimensions d'installation des embrayages</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11530:1993</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Crics hydrauliques -- Spécifications</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1129"/>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13043:2011</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Systèmes réfrigérants utilisés dans les systèmes d'air conditionné embarqués (MAC) -- Exigences de sécurité</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13063:2012</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Cyclomoteurs et motocycles à propulsion électrique -- Spécifications de sécurité</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574"/>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ISO/TR 13214:1996</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Systèmes de retenue pour enfants -- Compilation des règlements et des normes</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78"/>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15763:2002</w:t>
            </w:r>
          </w:p>
          <w:p w:rsidR="008C7F3C" w:rsidRPr="0061020E" w:rsidRDefault="008C7F3C" w:rsidP="008F6018">
            <w:pPr>
              <w:spacing w:after="120"/>
              <w:jc w:val="both"/>
              <w:rPr>
                <w:rFonts w:ascii="Rockwell" w:hAnsi="Rockwell"/>
                <w:sz w:val="24"/>
                <w:szCs w:val="24"/>
                <w:lang w:val="fr-FR"/>
              </w:rPr>
            </w:pP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Systèmes d'alarme pour autobus et véhicules utilitaires de masses totales maximales autorisées supérieures à 3,5 t</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59"/>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lastRenderedPageBreak/>
              <w:t>ISO 16121-1:2012</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Exigences ergonomiques du poste de conduite dans les bus de ville -- Partie 1: Description générale, exigences de base</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76"/>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16121-2:2011</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Exigences ergonomiques du poste de conduite dans les bus de ville -- Partie 2: Visibilité</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980"/>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16121-3:2011</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Exigences ergonomiques du poste de conduite dans les bus de ville -- Partie 3: Systèmes de contrôle et d'information</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r w:rsidR="008C7F3C" w:rsidRPr="006847BA" w:rsidTr="00CF0D05">
        <w:trPr>
          <w:trHeight w:hRule="exact" w:val="1257"/>
          <w:jc w:val="center"/>
        </w:trPr>
        <w:tc>
          <w:tcPr>
            <w:tcW w:w="2025" w:type="dxa"/>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ISO 16121-4:2011</w:t>
            </w:r>
          </w:p>
        </w:tc>
        <w:tc>
          <w:tcPr>
            <w:tcW w:w="6198" w:type="dxa"/>
            <w:vAlign w:val="center"/>
          </w:tcPr>
          <w:p w:rsidR="008C7F3C" w:rsidRPr="0061020E" w:rsidRDefault="008C7F3C" w:rsidP="008F6018">
            <w:pPr>
              <w:spacing w:after="120"/>
              <w:jc w:val="both"/>
              <w:rPr>
                <w:rFonts w:ascii="Rockwell" w:hAnsi="Rockwell"/>
                <w:sz w:val="24"/>
                <w:szCs w:val="24"/>
                <w:lang w:val="fr-FR"/>
              </w:rPr>
            </w:pPr>
            <w:r w:rsidRPr="0061020E">
              <w:rPr>
                <w:rFonts w:ascii="Rockwell" w:hAnsi="Rockwell"/>
                <w:sz w:val="24"/>
                <w:szCs w:val="24"/>
              </w:rPr>
              <w:t>Véhicules routiers -- Exigences ergonomiques du poste de conduite dans les bus de ville -- Partie 4: Environnement dans la cabine</w:t>
            </w:r>
          </w:p>
        </w:tc>
        <w:tc>
          <w:tcPr>
            <w:tcW w:w="2687" w:type="dxa"/>
          </w:tcPr>
          <w:p w:rsidR="008C7F3C" w:rsidRPr="0061020E" w:rsidRDefault="008C7F3C" w:rsidP="008F6018">
            <w:pPr>
              <w:pStyle w:val="TableParagraph"/>
              <w:numPr>
                <w:ilvl w:val="0"/>
                <w:numId w:val="43"/>
              </w:numPr>
              <w:tabs>
                <w:tab w:val="left" w:pos="405"/>
              </w:tabs>
              <w:spacing w:after="120"/>
              <w:ind w:hanging="254"/>
              <w:jc w:val="both"/>
              <w:rPr>
                <w:rFonts w:ascii="Rockwell" w:eastAsia="Calibri" w:hAnsi="Rockwell" w:cs="Calibri"/>
                <w:sz w:val="24"/>
                <w:szCs w:val="24"/>
                <w:lang w:val="fr-CA"/>
              </w:rPr>
            </w:pPr>
          </w:p>
        </w:tc>
      </w:tr>
    </w:tbl>
    <w:p w:rsidR="008C7F3C" w:rsidRPr="0061020E" w:rsidRDefault="008C7F3C" w:rsidP="008F6018">
      <w:pPr>
        <w:spacing w:after="120" w:line="240" w:lineRule="auto"/>
        <w:jc w:val="both"/>
        <w:rPr>
          <w:rFonts w:ascii="Rockwell" w:hAnsi="Rockwell"/>
          <w:sz w:val="24"/>
          <w:szCs w:val="24"/>
          <w:lang w:val="fr-CA"/>
        </w:rPr>
      </w:pPr>
    </w:p>
    <w:p w:rsidR="008C7F3C" w:rsidRPr="0061020E" w:rsidRDefault="008C7F3C" w:rsidP="008F6018">
      <w:pPr>
        <w:spacing w:after="120" w:line="240" w:lineRule="auto"/>
        <w:jc w:val="both"/>
        <w:rPr>
          <w:rFonts w:ascii="Rockwell" w:hAnsi="Rockwell"/>
          <w:sz w:val="24"/>
          <w:szCs w:val="24"/>
          <w:lang w:val="fr-CA"/>
        </w:rPr>
      </w:pPr>
    </w:p>
    <w:p w:rsidR="003E2F3C" w:rsidRPr="0061020E" w:rsidRDefault="003E2F3C" w:rsidP="008F6018">
      <w:pPr>
        <w:spacing w:after="120" w:line="240" w:lineRule="auto"/>
        <w:jc w:val="both"/>
        <w:rPr>
          <w:rFonts w:ascii="Rockwell" w:hAnsi="Rockwell"/>
          <w:sz w:val="24"/>
          <w:szCs w:val="24"/>
          <w:lang w:val="fr-CA"/>
        </w:rPr>
      </w:pPr>
    </w:p>
    <w:p w:rsidR="003E2F3C" w:rsidRPr="0061020E" w:rsidRDefault="003E2F3C" w:rsidP="008F6018">
      <w:pPr>
        <w:spacing w:after="120" w:line="240" w:lineRule="auto"/>
        <w:jc w:val="both"/>
        <w:rPr>
          <w:rFonts w:ascii="Rockwell" w:hAnsi="Rockwell"/>
          <w:sz w:val="24"/>
          <w:szCs w:val="24"/>
          <w:lang w:val="fr-CA"/>
        </w:rPr>
      </w:pPr>
    </w:p>
    <w:p w:rsidR="003E2F3C" w:rsidRPr="0061020E" w:rsidRDefault="003E2F3C" w:rsidP="008F6018">
      <w:pPr>
        <w:spacing w:after="120" w:line="240" w:lineRule="auto"/>
        <w:jc w:val="both"/>
        <w:rPr>
          <w:rFonts w:ascii="Rockwell" w:hAnsi="Rockwell"/>
          <w:sz w:val="24"/>
          <w:szCs w:val="24"/>
          <w:lang w:val="fr-CA"/>
        </w:rPr>
      </w:pPr>
    </w:p>
    <w:p w:rsidR="00104BBA" w:rsidRPr="0061020E" w:rsidRDefault="00104BBA" w:rsidP="008F6018">
      <w:pPr>
        <w:spacing w:after="120" w:line="240" w:lineRule="auto"/>
        <w:jc w:val="both"/>
        <w:rPr>
          <w:rFonts w:ascii="Rockwell" w:hAnsi="Rockwell"/>
          <w:sz w:val="24"/>
          <w:szCs w:val="24"/>
          <w:lang w:val="fr-CA"/>
        </w:rPr>
      </w:pPr>
    </w:p>
    <w:p w:rsidR="00104BBA" w:rsidRPr="0061020E" w:rsidRDefault="00104BBA" w:rsidP="008F6018">
      <w:pPr>
        <w:spacing w:after="120" w:line="240" w:lineRule="auto"/>
        <w:jc w:val="both"/>
        <w:rPr>
          <w:rFonts w:ascii="Rockwell" w:hAnsi="Rockwell"/>
          <w:sz w:val="24"/>
          <w:szCs w:val="24"/>
          <w:lang w:val="fr-CA"/>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Pr="00FA17BC" w:rsidRDefault="00285444" w:rsidP="008F6018">
      <w:pPr>
        <w:spacing w:after="120" w:line="240" w:lineRule="auto"/>
        <w:jc w:val="both"/>
        <w:rPr>
          <w:rFonts w:ascii="Rockwell" w:hAnsi="Rockwell"/>
        </w:rPr>
      </w:pPr>
    </w:p>
    <w:p w:rsidR="00CF0D05" w:rsidRDefault="00CF0D05" w:rsidP="00CF0D05">
      <w:pPr>
        <w:pStyle w:val="Titre1"/>
        <w:spacing w:after="120"/>
        <w:rPr>
          <w:rFonts w:ascii="Rockwell" w:hAnsi="Rockwell"/>
          <w:sz w:val="144"/>
          <w:szCs w:val="144"/>
        </w:rPr>
      </w:pPr>
    </w:p>
    <w:p w:rsidR="00CF0D05" w:rsidRDefault="00CF0D05" w:rsidP="00CF0D05">
      <w:pPr>
        <w:pStyle w:val="Titre1"/>
        <w:spacing w:after="120"/>
        <w:rPr>
          <w:rFonts w:ascii="Rockwell" w:hAnsi="Rockwell"/>
          <w:sz w:val="144"/>
          <w:szCs w:val="144"/>
        </w:rPr>
      </w:pPr>
    </w:p>
    <w:p w:rsidR="00CF0D05" w:rsidRDefault="00CF0D05" w:rsidP="00CF0D05">
      <w:pPr>
        <w:pStyle w:val="Titre1"/>
        <w:spacing w:after="120"/>
        <w:rPr>
          <w:rFonts w:ascii="Rockwell" w:hAnsi="Rockwell"/>
          <w:sz w:val="144"/>
          <w:szCs w:val="144"/>
        </w:rPr>
      </w:pPr>
    </w:p>
    <w:p w:rsidR="00285444" w:rsidRPr="00CF0D05" w:rsidRDefault="00285444" w:rsidP="00CF0D05">
      <w:pPr>
        <w:pStyle w:val="Titre1"/>
        <w:spacing w:after="120"/>
        <w:rPr>
          <w:rFonts w:ascii="Rockwell" w:hAnsi="Rockwell"/>
          <w:sz w:val="144"/>
          <w:szCs w:val="144"/>
        </w:rPr>
      </w:pPr>
      <w:bookmarkStart w:id="694" w:name="_Toc503784937"/>
      <w:bookmarkStart w:id="695" w:name="_Toc505063343"/>
      <w:r w:rsidRPr="00CF0D05">
        <w:rPr>
          <w:rFonts w:ascii="Rockwell" w:hAnsi="Rockwell"/>
          <w:sz w:val="144"/>
          <w:szCs w:val="144"/>
        </w:rPr>
        <w:t>ANNEXE</w:t>
      </w:r>
      <w:r w:rsidR="00DC0CA8" w:rsidRPr="00CF0D05">
        <w:rPr>
          <w:rFonts w:ascii="Rockwell" w:hAnsi="Rockwell"/>
          <w:sz w:val="144"/>
          <w:szCs w:val="144"/>
        </w:rPr>
        <w:t>S</w:t>
      </w:r>
      <w:bookmarkEnd w:id="694"/>
      <w:bookmarkEnd w:id="695"/>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hAnsi="Rockwell"/>
        </w:rPr>
      </w:pPr>
    </w:p>
    <w:p w:rsidR="00285444" w:rsidRDefault="00285444" w:rsidP="008F6018">
      <w:pPr>
        <w:spacing w:after="120" w:line="240" w:lineRule="auto"/>
        <w:jc w:val="both"/>
        <w:rPr>
          <w:rFonts w:ascii="Rockwell" w:eastAsia="Times New Roman" w:hAnsi="Rockwell" w:cs="Times New Roman"/>
          <w:b/>
          <w:bCs/>
          <w:sz w:val="24"/>
          <w:szCs w:val="24"/>
          <w:lang w:eastAsia="fr-FR"/>
        </w:rPr>
      </w:pPr>
      <w:r>
        <w:rPr>
          <w:rFonts w:ascii="Rockwell" w:hAnsi="Rockwell"/>
        </w:rPr>
        <w:br w:type="page"/>
      </w:r>
    </w:p>
    <w:p w:rsidR="00C02D57" w:rsidRPr="00FA17BC" w:rsidRDefault="00C02D57" w:rsidP="008F6018">
      <w:pPr>
        <w:spacing w:after="120" w:line="240" w:lineRule="auto"/>
        <w:jc w:val="both"/>
        <w:rPr>
          <w:rFonts w:ascii="Rockwell" w:hAnsi="Rockwell"/>
          <w:b/>
          <w:sz w:val="24"/>
        </w:rPr>
      </w:pPr>
      <w:r w:rsidRPr="00FA17BC">
        <w:rPr>
          <w:rFonts w:ascii="Rockwell" w:hAnsi="Rockwell"/>
          <w:b/>
          <w:sz w:val="24"/>
        </w:rPr>
        <w:lastRenderedPageBreak/>
        <w:t>ANNEXE 1 : répertoire des normes nationales applicables</w:t>
      </w:r>
    </w:p>
    <w:p w:rsidR="00A6351F" w:rsidRPr="0061020E" w:rsidRDefault="00A6351F" w:rsidP="008F6018">
      <w:pPr>
        <w:spacing w:after="120" w:line="240" w:lineRule="auto"/>
        <w:jc w:val="both"/>
        <w:rPr>
          <w:rFonts w:ascii="Rockwell" w:hAnsi="Rockwell"/>
          <w:sz w:val="24"/>
          <w:szCs w:val="24"/>
          <w:lang w:eastAsia="fr-FR"/>
        </w:rPr>
      </w:pPr>
    </w:p>
    <w:p w:rsidR="00C02D57" w:rsidRDefault="00C02D57" w:rsidP="008F6018">
      <w:pPr>
        <w:pStyle w:val="Paragraphedeliste"/>
        <w:numPr>
          <w:ilvl w:val="0"/>
          <w:numId w:val="49"/>
        </w:numPr>
        <w:spacing w:after="120" w:line="240" w:lineRule="auto"/>
        <w:jc w:val="both"/>
        <w:rPr>
          <w:rFonts w:ascii="Rockwell" w:hAnsi="Rockwell"/>
          <w:b/>
          <w:sz w:val="24"/>
          <w:szCs w:val="24"/>
          <w:lang w:val="fr-CA"/>
        </w:rPr>
      </w:pPr>
      <w:r w:rsidRPr="0061020E">
        <w:rPr>
          <w:rFonts w:ascii="Rockwell" w:hAnsi="Rockwell"/>
          <w:b/>
          <w:sz w:val="24"/>
          <w:szCs w:val="24"/>
          <w:lang w:val="fr-CA"/>
        </w:rPr>
        <w:t>Domaine agricole et alimentaire</w:t>
      </w:r>
    </w:p>
    <w:p w:rsidR="001C0E48" w:rsidRPr="0061020E" w:rsidRDefault="001C0E48" w:rsidP="008F6018">
      <w:pPr>
        <w:pStyle w:val="Paragraphedeliste"/>
        <w:spacing w:after="120" w:line="240" w:lineRule="auto"/>
        <w:jc w:val="both"/>
        <w:rPr>
          <w:rFonts w:ascii="Rockwell" w:hAnsi="Rockwell"/>
          <w:b/>
          <w:sz w:val="24"/>
          <w:szCs w:val="24"/>
          <w:lang w:val="fr-CA"/>
        </w:rPr>
      </w:pPr>
    </w:p>
    <w:p w:rsidR="00C02D57" w:rsidRPr="0061020E"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t xml:space="preserve">Fruits et </w:t>
      </w:r>
      <w:r w:rsidR="004D51DA">
        <w:rPr>
          <w:rFonts w:ascii="Rockwell" w:hAnsi="Rockwell"/>
          <w:b/>
          <w:bCs/>
          <w:sz w:val="24"/>
          <w:szCs w:val="24"/>
        </w:rPr>
        <w:t>l</w:t>
      </w:r>
      <w:r w:rsidRPr="0061020E">
        <w:rPr>
          <w:rFonts w:ascii="Rockwell" w:hAnsi="Rockwell"/>
          <w:b/>
          <w:bCs/>
          <w:sz w:val="24"/>
          <w:szCs w:val="24"/>
        </w:rPr>
        <w:t>égumes</w:t>
      </w:r>
    </w:p>
    <w:tbl>
      <w:tblPr>
        <w:tblStyle w:val="Grilledutableau"/>
        <w:tblW w:w="10173" w:type="dxa"/>
        <w:tblLook w:val="01E0" w:firstRow="1" w:lastRow="1" w:firstColumn="1" w:lastColumn="1" w:noHBand="0" w:noVBand="0"/>
      </w:tblPr>
      <w:tblGrid>
        <w:gridCol w:w="1355"/>
        <w:gridCol w:w="6172"/>
        <w:gridCol w:w="2646"/>
      </w:tblGrid>
      <w:tr w:rsidR="00C02D57" w:rsidRPr="00D23982" w:rsidTr="00DD7EAB">
        <w:tc>
          <w:tcPr>
            <w:tcW w:w="1355" w:type="dxa"/>
          </w:tcPr>
          <w:p w:rsidR="00C02D57" w:rsidRPr="00D23982" w:rsidRDefault="00C02D57" w:rsidP="008F6018">
            <w:pPr>
              <w:spacing w:after="120"/>
              <w:jc w:val="both"/>
              <w:rPr>
                <w:rFonts w:ascii="Rockwell" w:hAnsi="Rockwell"/>
                <w:b/>
                <w:sz w:val="24"/>
                <w:szCs w:val="24"/>
              </w:rPr>
            </w:pPr>
            <w:r w:rsidRPr="00D23982">
              <w:rPr>
                <w:rFonts w:ascii="Rockwell" w:hAnsi="Rockwell"/>
                <w:b/>
                <w:sz w:val="24"/>
                <w:szCs w:val="24"/>
              </w:rPr>
              <w:t>No d’ordre</w:t>
            </w:r>
          </w:p>
        </w:tc>
        <w:tc>
          <w:tcPr>
            <w:tcW w:w="6172" w:type="dxa"/>
            <w:vAlign w:val="center"/>
          </w:tcPr>
          <w:p w:rsidR="00C02D57" w:rsidRPr="00D23982" w:rsidRDefault="00C02D57" w:rsidP="008F6018">
            <w:pPr>
              <w:spacing w:after="120"/>
              <w:jc w:val="both"/>
              <w:rPr>
                <w:rFonts w:ascii="Rockwell" w:hAnsi="Rockwell"/>
                <w:b/>
                <w:sz w:val="24"/>
                <w:szCs w:val="24"/>
              </w:rPr>
            </w:pPr>
            <w:r w:rsidRPr="00D23982">
              <w:rPr>
                <w:rFonts w:ascii="Rockwell" w:hAnsi="Rockwell"/>
                <w:b/>
                <w:sz w:val="24"/>
                <w:szCs w:val="24"/>
              </w:rPr>
              <w:t>Désignation</w:t>
            </w:r>
          </w:p>
        </w:tc>
        <w:tc>
          <w:tcPr>
            <w:tcW w:w="2646" w:type="dxa"/>
            <w:vAlign w:val="center"/>
          </w:tcPr>
          <w:p w:rsidR="00C02D57" w:rsidRPr="00D23982" w:rsidRDefault="00C02D57" w:rsidP="008F6018">
            <w:pPr>
              <w:spacing w:after="120"/>
              <w:jc w:val="both"/>
              <w:rPr>
                <w:rFonts w:ascii="Rockwell" w:hAnsi="Rockwell"/>
                <w:b/>
                <w:sz w:val="24"/>
                <w:szCs w:val="24"/>
              </w:rPr>
            </w:pPr>
            <w:r w:rsidRPr="00D23982">
              <w:rPr>
                <w:rFonts w:ascii="Rockwell" w:hAnsi="Rockwell"/>
                <w:b/>
                <w:sz w:val="24"/>
                <w:szCs w:val="24"/>
              </w:rPr>
              <w:t>Norme à référencer</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Tomate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01-010 :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Oignons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01-011: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Banane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01-012: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4D51DA">
            <w:pPr>
              <w:spacing w:after="120"/>
              <w:jc w:val="both"/>
              <w:rPr>
                <w:rFonts w:ascii="Rockwell" w:hAnsi="Rockwell"/>
                <w:sz w:val="24"/>
                <w:szCs w:val="24"/>
              </w:rPr>
            </w:pPr>
            <w:r w:rsidRPr="0061020E">
              <w:rPr>
                <w:rFonts w:ascii="Rockwell" w:hAnsi="Rockwell"/>
                <w:sz w:val="24"/>
                <w:szCs w:val="24"/>
              </w:rPr>
              <w:t>Fraise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01-013: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Papaye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01-014: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Pomme de terre de primeur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01-015: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Pomme de terre de conservation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01-016: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Dattes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01-017: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Aulx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01-018: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4D51DA">
            <w:pPr>
              <w:spacing w:after="120"/>
              <w:jc w:val="both"/>
              <w:rPr>
                <w:rFonts w:ascii="Rockwell" w:hAnsi="Rockwell"/>
                <w:sz w:val="24"/>
                <w:szCs w:val="24"/>
              </w:rPr>
            </w:pPr>
            <w:r w:rsidRPr="0061020E">
              <w:rPr>
                <w:rFonts w:ascii="Rockwell" w:hAnsi="Rockwell"/>
                <w:sz w:val="24"/>
                <w:szCs w:val="24"/>
              </w:rPr>
              <w:t>Tomate en conserve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01-019: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4D51DA">
            <w:pPr>
              <w:spacing w:after="120"/>
              <w:jc w:val="both"/>
              <w:rPr>
                <w:rFonts w:ascii="Rockwell" w:hAnsi="Rockwell"/>
                <w:sz w:val="24"/>
                <w:szCs w:val="24"/>
              </w:rPr>
            </w:pPr>
            <w:r w:rsidRPr="0061020E">
              <w:rPr>
                <w:rFonts w:ascii="Rockwell" w:hAnsi="Rockwell"/>
                <w:sz w:val="24"/>
                <w:szCs w:val="24"/>
              </w:rPr>
              <w:t>Mangue en conserves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01-020: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Cornichons en conserve: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01-021: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4D51DA">
            <w:pPr>
              <w:spacing w:after="120"/>
              <w:jc w:val="both"/>
              <w:rPr>
                <w:rFonts w:ascii="Rockwell" w:hAnsi="Rockwell"/>
                <w:sz w:val="24"/>
                <w:szCs w:val="24"/>
              </w:rPr>
            </w:pPr>
            <w:r w:rsidRPr="0061020E">
              <w:rPr>
                <w:rFonts w:ascii="Rockwell" w:hAnsi="Rockwell"/>
                <w:sz w:val="24"/>
                <w:szCs w:val="24"/>
              </w:rPr>
              <w:t>Haricot vert et haricot beurre en conserve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01-022: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Concentré de jus d’orange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01-023: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Concentré de tomate : Spécifications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01-024: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Norme sur les confitures et gelées </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01-025: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 Code d’usages recommandé en matière d’hygiène pour les fruits séchés </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01-026: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recommandé pour l’emballage et le transport des fruits et légumes frais</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01-027: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générale d’étiquetage des denrées alimentaires préemballées</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01-028: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Norme  jus d'orange </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01-029: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Nectar de goyave </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01-030: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de mangue</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01-031: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de bissap</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01-032: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Norme  jus de tomate </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01-033: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d'ananas.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01-034: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de tamarin.</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01-035: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de pois sucre.</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01-036: 2009</w:t>
            </w:r>
          </w:p>
        </w:tc>
      </w:tr>
      <w:tr w:rsidR="00D2340E" w:rsidRPr="00D23982" w:rsidTr="009D6A6D">
        <w:tc>
          <w:tcPr>
            <w:tcW w:w="1355" w:type="dxa"/>
          </w:tcPr>
          <w:p w:rsidR="00D2340E" w:rsidRPr="00D23982" w:rsidRDefault="00D2340E" w:rsidP="009D6A6D">
            <w:pPr>
              <w:spacing w:after="120"/>
              <w:jc w:val="both"/>
              <w:rPr>
                <w:rFonts w:ascii="Rockwell" w:hAnsi="Rockwell"/>
                <w:b/>
                <w:sz w:val="24"/>
                <w:szCs w:val="24"/>
              </w:rPr>
            </w:pPr>
            <w:r w:rsidRPr="00D23982">
              <w:rPr>
                <w:rFonts w:ascii="Rockwell" w:hAnsi="Rockwell"/>
                <w:b/>
                <w:sz w:val="24"/>
                <w:szCs w:val="24"/>
              </w:rPr>
              <w:t xml:space="preserve">No </w:t>
            </w:r>
            <w:r w:rsidRPr="00D23982">
              <w:rPr>
                <w:rFonts w:ascii="Rockwell" w:hAnsi="Rockwell"/>
                <w:b/>
                <w:sz w:val="24"/>
                <w:szCs w:val="24"/>
              </w:rPr>
              <w:lastRenderedPageBreak/>
              <w:t>d’ordre</w:t>
            </w:r>
          </w:p>
        </w:tc>
        <w:tc>
          <w:tcPr>
            <w:tcW w:w="6172" w:type="dxa"/>
            <w:vAlign w:val="center"/>
          </w:tcPr>
          <w:p w:rsidR="00D2340E" w:rsidRPr="00D23982" w:rsidRDefault="00D2340E" w:rsidP="009D6A6D">
            <w:pPr>
              <w:spacing w:after="120"/>
              <w:jc w:val="both"/>
              <w:rPr>
                <w:rFonts w:ascii="Rockwell" w:hAnsi="Rockwell"/>
                <w:b/>
                <w:sz w:val="24"/>
                <w:szCs w:val="24"/>
              </w:rPr>
            </w:pPr>
            <w:r w:rsidRPr="00D23982">
              <w:rPr>
                <w:rFonts w:ascii="Rockwell" w:hAnsi="Rockwell"/>
                <w:b/>
                <w:sz w:val="24"/>
                <w:szCs w:val="24"/>
              </w:rPr>
              <w:lastRenderedPageBreak/>
              <w:t>Désignation</w:t>
            </w:r>
          </w:p>
        </w:tc>
        <w:tc>
          <w:tcPr>
            <w:tcW w:w="2646" w:type="dxa"/>
            <w:vAlign w:val="center"/>
          </w:tcPr>
          <w:p w:rsidR="00D2340E" w:rsidRPr="00D23982" w:rsidRDefault="00D2340E" w:rsidP="009D6A6D">
            <w:pPr>
              <w:spacing w:after="120"/>
              <w:jc w:val="both"/>
              <w:rPr>
                <w:rFonts w:ascii="Rockwell" w:hAnsi="Rockwell"/>
                <w:b/>
                <w:sz w:val="24"/>
                <w:szCs w:val="24"/>
              </w:rPr>
            </w:pPr>
            <w:r w:rsidRPr="00D23982">
              <w:rPr>
                <w:rFonts w:ascii="Rockwell" w:hAnsi="Rockwell"/>
                <w:b/>
                <w:sz w:val="24"/>
                <w:szCs w:val="24"/>
              </w:rPr>
              <w:t>Norme à référencer</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jus de goyave.</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01-037: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Nectar de mangue.</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01-038: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ananas</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01-039: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4D51DA">
            <w:pPr>
              <w:spacing w:after="120"/>
              <w:jc w:val="both"/>
              <w:rPr>
                <w:rFonts w:ascii="Rockwell" w:hAnsi="Rockwell"/>
                <w:sz w:val="24"/>
                <w:szCs w:val="24"/>
              </w:rPr>
            </w:pPr>
            <w:r w:rsidRPr="0061020E">
              <w:rPr>
                <w:rFonts w:ascii="Rockwell" w:hAnsi="Rockwell"/>
                <w:sz w:val="24"/>
                <w:szCs w:val="24"/>
              </w:rPr>
              <w:t>Norme avocat</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01-040: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Confiture de mangue </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01-041: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Confiture de goyave.</w:t>
            </w:r>
          </w:p>
        </w:tc>
        <w:tc>
          <w:tcPr>
            <w:tcW w:w="264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01-042: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Confiture de banane.</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01-043: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Confiture de fraise.</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01-044: 2009</w:t>
            </w:r>
          </w:p>
        </w:tc>
      </w:tr>
      <w:tr w:rsidR="00C02D57" w:rsidRPr="006847BA" w:rsidTr="00DD7EAB">
        <w:tc>
          <w:tcPr>
            <w:tcW w:w="1355" w:type="dxa"/>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Confiture de papaye.</w:t>
            </w:r>
          </w:p>
        </w:tc>
        <w:tc>
          <w:tcPr>
            <w:tcW w:w="264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01-045: 2009</w:t>
            </w:r>
          </w:p>
        </w:tc>
      </w:tr>
      <w:tr w:rsidR="00C02D57" w:rsidRPr="006847BA" w:rsidTr="003F293B">
        <w:tc>
          <w:tcPr>
            <w:tcW w:w="1355" w:type="dxa"/>
            <w:tcBorders>
              <w:bottom w:val="single" w:sz="4" w:space="0" w:color="auto"/>
            </w:tcBorders>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Borders>
              <w:bottom w:val="single" w:sz="4" w:space="0" w:color="auto"/>
            </w:tcBorders>
            <w:vAlign w:val="center"/>
          </w:tcPr>
          <w:p w:rsidR="00C02D57" w:rsidRPr="0061020E" w:rsidRDefault="00E67240" w:rsidP="008F6018">
            <w:pPr>
              <w:spacing w:after="120"/>
              <w:jc w:val="both"/>
              <w:rPr>
                <w:rFonts w:ascii="Rockwell" w:hAnsi="Rockwell"/>
                <w:sz w:val="24"/>
                <w:szCs w:val="24"/>
              </w:rPr>
            </w:pPr>
            <w:r w:rsidRPr="0061020E">
              <w:rPr>
                <w:rFonts w:ascii="Rockwell" w:hAnsi="Rockwell"/>
                <w:sz w:val="24"/>
                <w:szCs w:val="24"/>
              </w:rPr>
              <w:t>Méthodes</w:t>
            </w:r>
            <w:r w:rsidR="00C02D57" w:rsidRPr="0061020E">
              <w:rPr>
                <w:rFonts w:ascii="Rockwell" w:hAnsi="Rockwell"/>
                <w:sz w:val="24"/>
                <w:szCs w:val="24"/>
              </w:rPr>
              <w:t xml:space="preserve"> d'analyse et d'</w:t>
            </w:r>
            <w:r w:rsidR="003F293B" w:rsidRPr="0061020E">
              <w:rPr>
                <w:rFonts w:ascii="Rockwell" w:hAnsi="Rockwell"/>
                <w:sz w:val="24"/>
                <w:szCs w:val="24"/>
              </w:rPr>
              <w:t>échantillonnage</w:t>
            </w:r>
            <w:r w:rsidR="00C02D57" w:rsidRPr="0061020E">
              <w:rPr>
                <w:rFonts w:ascii="Rockwell" w:hAnsi="Rockwell"/>
                <w:sz w:val="24"/>
                <w:szCs w:val="24"/>
              </w:rPr>
              <w:t xml:space="preserve"> </w:t>
            </w:r>
          </w:p>
        </w:tc>
        <w:tc>
          <w:tcPr>
            <w:tcW w:w="2646" w:type="dxa"/>
            <w:tcBorders>
              <w:bottom w:val="single" w:sz="4" w:space="0" w:color="auto"/>
            </w:tcBorders>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01- 046: 2009</w:t>
            </w:r>
          </w:p>
        </w:tc>
      </w:tr>
      <w:tr w:rsidR="00C02D57" w:rsidRPr="006847BA" w:rsidTr="003F293B">
        <w:trPr>
          <w:trHeight w:val="414"/>
        </w:trPr>
        <w:tc>
          <w:tcPr>
            <w:tcW w:w="1355" w:type="dxa"/>
            <w:tcBorders>
              <w:top w:val="single" w:sz="4" w:space="0" w:color="auto"/>
              <w:bottom w:val="single" w:sz="4" w:space="0" w:color="auto"/>
              <w:right w:val="single" w:sz="4" w:space="0" w:color="auto"/>
            </w:tcBorders>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Borders>
              <w:top w:val="single" w:sz="4" w:space="0" w:color="auto"/>
              <w:left w:val="single" w:sz="4" w:space="0" w:color="auto"/>
              <w:bottom w:val="single" w:sz="4" w:space="0" w:color="auto"/>
              <w:right w:val="single" w:sz="4" w:space="0" w:color="auto"/>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Haricot vert : Spécifications</w:t>
            </w:r>
          </w:p>
        </w:tc>
        <w:tc>
          <w:tcPr>
            <w:tcW w:w="2646" w:type="dxa"/>
            <w:tcBorders>
              <w:top w:val="single" w:sz="4" w:space="0" w:color="auto"/>
              <w:left w:val="single" w:sz="4" w:space="0" w:color="auto"/>
              <w:bottom w:val="single" w:sz="4" w:space="0" w:color="auto"/>
              <w:right w:val="single" w:sz="4" w:space="0" w:color="auto"/>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NBF 01-001 : 2006 </w:t>
            </w:r>
          </w:p>
        </w:tc>
      </w:tr>
      <w:tr w:rsidR="00C02D57" w:rsidRPr="006847BA" w:rsidTr="003F293B">
        <w:tc>
          <w:tcPr>
            <w:tcW w:w="1355" w:type="dxa"/>
            <w:tcBorders>
              <w:top w:val="single" w:sz="4" w:space="0" w:color="auto"/>
              <w:bottom w:val="single" w:sz="4" w:space="0" w:color="auto"/>
              <w:right w:val="single" w:sz="4" w:space="0" w:color="auto"/>
            </w:tcBorders>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Borders>
              <w:top w:val="single" w:sz="4" w:space="0" w:color="auto"/>
              <w:left w:val="single" w:sz="4" w:space="0" w:color="auto"/>
              <w:bottom w:val="single" w:sz="4" w:space="0" w:color="auto"/>
              <w:right w:val="single" w:sz="4" w:space="0" w:color="auto"/>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Mangue : Spécifications </w:t>
            </w:r>
          </w:p>
        </w:tc>
        <w:tc>
          <w:tcPr>
            <w:tcW w:w="2646" w:type="dxa"/>
            <w:tcBorders>
              <w:top w:val="single" w:sz="4" w:space="0" w:color="auto"/>
              <w:left w:val="single" w:sz="4" w:space="0" w:color="auto"/>
              <w:bottom w:val="single" w:sz="4" w:space="0" w:color="auto"/>
              <w:right w:val="single" w:sz="4" w:space="0" w:color="auto"/>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01-002 : 2006</w:t>
            </w:r>
          </w:p>
        </w:tc>
      </w:tr>
      <w:tr w:rsidR="00C02D57" w:rsidRPr="006847BA" w:rsidTr="003F293B">
        <w:tc>
          <w:tcPr>
            <w:tcW w:w="1355" w:type="dxa"/>
            <w:tcBorders>
              <w:top w:val="single" w:sz="4" w:space="0" w:color="auto"/>
              <w:bottom w:val="single" w:sz="4" w:space="0" w:color="auto"/>
              <w:right w:val="single" w:sz="4" w:space="0" w:color="auto"/>
            </w:tcBorders>
          </w:tcPr>
          <w:p w:rsidR="00C02D57" w:rsidRPr="0061020E" w:rsidRDefault="00C02D57" w:rsidP="008F6018">
            <w:pPr>
              <w:pStyle w:val="Paragraphedeliste"/>
              <w:numPr>
                <w:ilvl w:val="0"/>
                <w:numId w:val="51"/>
              </w:numPr>
              <w:spacing w:after="120"/>
              <w:jc w:val="both"/>
              <w:rPr>
                <w:rFonts w:ascii="Rockwell" w:hAnsi="Rockwell"/>
                <w:sz w:val="24"/>
                <w:szCs w:val="24"/>
                <w:lang w:val="fr-FR"/>
              </w:rPr>
            </w:pPr>
          </w:p>
        </w:tc>
        <w:tc>
          <w:tcPr>
            <w:tcW w:w="6172" w:type="dxa"/>
            <w:tcBorders>
              <w:top w:val="single" w:sz="4" w:space="0" w:color="auto"/>
              <w:left w:val="single" w:sz="4" w:space="0" w:color="auto"/>
              <w:bottom w:val="single" w:sz="4" w:space="0" w:color="auto"/>
              <w:right w:val="single" w:sz="4" w:space="0" w:color="auto"/>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Mangue séchée : Spécifications </w:t>
            </w:r>
          </w:p>
        </w:tc>
        <w:tc>
          <w:tcPr>
            <w:tcW w:w="2646" w:type="dxa"/>
            <w:tcBorders>
              <w:top w:val="single" w:sz="4" w:space="0" w:color="auto"/>
              <w:left w:val="single" w:sz="4" w:space="0" w:color="auto"/>
              <w:bottom w:val="single" w:sz="4" w:space="0" w:color="auto"/>
              <w:right w:val="single" w:sz="4" w:space="0" w:color="auto"/>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01-003 : 2006</w:t>
            </w:r>
          </w:p>
        </w:tc>
      </w:tr>
    </w:tbl>
    <w:p w:rsidR="00C02D57" w:rsidRPr="0061020E" w:rsidRDefault="00C02D57" w:rsidP="008F6018">
      <w:pPr>
        <w:spacing w:after="120" w:line="240" w:lineRule="auto"/>
        <w:ind w:left="360"/>
        <w:jc w:val="both"/>
        <w:rPr>
          <w:rFonts w:ascii="Rockwell" w:hAnsi="Rockwell"/>
          <w:sz w:val="24"/>
          <w:szCs w:val="24"/>
        </w:rPr>
      </w:pPr>
    </w:p>
    <w:p w:rsidR="00C02D57" w:rsidRPr="0061020E"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t xml:space="preserve">Produits de la </w:t>
      </w:r>
      <w:r w:rsidR="004D51DA">
        <w:rPr>
          <w:rFonts w:ascii="Rockwell" w:hAnsi="Rockwell"/>
          <w:b/>
          <w:bCs/>
          <w:sz w:val="24"/>
          <w:szCs w:val="24"/>
        </w:rPr>
        <w:t>p</w:t>
      </w:r>
      <w:r w:rsidRPr="0061020E">
        <w:rPr>
          <w:rFonts w:ascii="Rockwell" w:hAnsi="Rockwell"/>
          <w:b/>
          <w:bCs/>
          <w:sz w:val="24"/>
          <w:szCs w:val="24"/>
        </w:rPr>
        <w:t>êche</w:t>
      </w:r>
    </w:p>
    <w:p w:rsidR="00C02D57" w:rsidRPr="0061020E" w:rsidRDefault="00C02D57" w:rsidP="008F6018">
      <w:pPr>
        <w:spacing w:after="120" w:line="240" w:lineRule="auto"/>
        <w:ind w:left="360"/>
        <w:jc w:val="both"/>
        <w:rPr>
          <w:rFonts w:ascii="Rockwell" w:hAnsi="Rockwell"/>
          <w:b/>
          <w:bCs/>
          <w:sz w:val="24"/>
          <w:szCs w:val="24"/>
        </w:rPr>
      </w:pPr>
    </w:p>
    <w:tbl>
      <w:tblPr>
        <w:tblStyle w:val="Grilledutableau"/>
        <w:tblW w:w="10201" w:type="dxa"/>
        <w:tblLook w:val="01E0" w:firstRow="1" w:lastRow="1" w:firstColumn="1" w:lastColumn="1" w:noHBand="0" w:noVBand="0"/>
      </w:tblPr>
      <w:tblGrid>
        <w:gridCol w:w="1368"/>
        <w:gridCol w:w="6300"/>
        <w:gridCol w:w="2533"/>
      </w:tblGrid>
      <w:tr w:rsidR="00C02D57" w:rsidRPr="006847BA" w:rsidTr="003F293B">
        <w:trPr>
          <w:tblHeader/>
        </w:trPr>
        <w:tc>
          <w:tcPr>
            <w:tcW w:w="1368" w:type="dxa"/>
          </w:tcPr>
          <w:p w:rsidR="00C02D57" w:rsidRPr="00D23982" w:rsidRDefault="00C02D57" w:rsidP="003F293B">
            <w:pPr>
              <w:spacing w:after="120"/>
              <w:jc w:val="center"/>
              <w:rPr>
                <w:rFonts w:ascii="Rockwell" w:hAnsi="Rockwell"/>
                <w:b/>
                <w:sz w:val="24"/>
                <w:szCs w:val="24"/>
              </w:rPr>
            </w:pPr>
            <w:r w:rsidRPr="00D23982">
              <w:rPr>
                <w:rFonts w:ascii="Rockwell" w:hAnsi="Rockwell"/>
                <w:b/>
                <w:sz w:val="24"/>
                <w:szCs w:val="24"/>
              </w:rPr>
              <w:t>No d’ordre</w:t>
            </w:r>
          </w:p>
        </w:tc>
        <w:tc>
          <w:tcPr>
            <w:tcW w:w="6300" w:type="dxa"/>
            <w:vAlign w:val="center"/>
          </w:tcPr>
          <w:p w:rsidR="00C02D57" w:rsidRPr="00D23982" w:rsidRDefault="00C02D57" w:rsidP="003F293B">
            <w:pPr>
              <w:spacing w:after="120"/>
              <w:jc w:val="center"/>
              <w:rPr>
                <w:rFonts w:ascii="Rockwell" w:hAnsi="Rockwell"/>
                <w:b/>
                <w:sz w:val="24"/>
                <w:szCs w:val="24"/>
              </w:rPr>
            </w:pPr>
            <w:r w:rsidRPr="00D23982">
              <w:rPr>
                <w:rFonts w:ascii="Rockwell" w:hAnsi="Rockwell"/>
                <w:b/>
                <w:sz w:val="24"/>
                <w:szCs w:val="24"/>
              </w:rPr>
              <w:t>Désignation</w:t>
            </w:r>
          </w:p>
        </w:tc>
        <w:tc>
          <w:tcPr>
            <w:tcW w:w="2533" w:type="dxa"/>
            <w:vAlign w:val="center"/>
          </w:tcPr>
          <w:p w:rsidR="00C02D57" w:rsidRPr="00D23982" w:rsidRDefault="00C02D57" w:rsidP="003F293B">
            <w:pPr>
              <w:spacing w:after="120"/>
              <w:jc w:val="center"/>
              <w:rPr>
                <w:rFonts w:ascii="Rockwell" w:hAnsi="Rockwell"/>
                <w:b/>
                <w:sz w:val="24"/>
                <w:szCs w:val="24"/>
              </w:rPr>
            </w:pPr>
            <w:r w:rsidRPr="00D23982">
              <w:rPr>
                <w:rFonts w:ascii="Rockwell" w:hAnsi="Rockwell"/>
                <w:b/>
                <w:sz w:val="24"/>
                <w:szCs w:val="24"/>
              </w:rPr>
              <w:t>Norme à référencer</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Norme de qualité des produits de la pêche </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01-047: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pour le poisson en conserve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01-048 :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pour le poisson éviscéré et non éviscéré surgelé</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01-049: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pour les sardines et produits du type sardines en conserve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01-050: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Norme générale pour les filets de poisson surgelés </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01-051: 2009</w:t>
            </w:r>
          </w:p>
        </w:tc>
      </w:tr>
      <w:tr w:rsidR="00C02D57" w:rsidRPr="006847BA" w:rsidTr="00CE2CC2">
        <w:trPr>
          <w:trHeight w:val="645"/>
        </w:trPr>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de produits préparés à partir de chair de poisson ou surimi</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01-052: 2009</w:t>
            </w:r>
          </w:p>
        </w:tc>
      </w:tr>
      <w:tr w:rsidR="00C02D57" w:rsidRPr="006847BA" w:rsidTr="00CE2CC2">
        <w:trPr>
          <w:trHeight w:val="996"/>
        </w:trPr>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Norme pour les blocs surgelés de filets de poisson, de chair de poisson hachée et de mélanges de filets et de chair de poisson hachée </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01-053: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pour les crevettes surgelées</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01-054: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sur les valeurs limites en azote basique volatil total (ABVT) pour certaines catégories de produits de la pêche et les méthodes d'analyse à utiliser</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01-055: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pour l’évaluation organoleptique de l’état de fraîcheur de poissons et autres produits de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01-056: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Normes de spécifications de la qualité des eaux destinées aux traitements de denrées alimentaire</w:t>
            </w:r>
            <w:r w:rsidR="004D51DA">
              <w:rPr>
                <w:rFonts w:ascii="Rockwell" w:hAnsi="Rockwell"/>
                <w:sz w:val="24"/>
                <w:szCs w:val="24"/>
              </w:rPr>
              <w:t>s</w:t>
            </w:r>
            <w:r w:rsidRPr="0061020E">
              <w:rPr>
                <w:rFonts w:ascii="Rockwell" w:hAnsi="Rockwell"/>
                <w:sz w:val="24"/>
                <w:szCs w:val="24"/>
              </w:rPr>
              <w:t xml:space="preserve"> d’origine animale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01-057: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Normes de spécification des teneurs maximales pour le plomb et le cadmium dans les produits de la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01-058: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de spécification des niveaux à respecter pour le mercure dans les produits de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01-059: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de spécification des niveaux à respecter pour l’arsenic dans les produits de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01-060: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Norme de spécification sur le taux de remplissage des conserves de thon</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01-061: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Critère de qualité microbiologique des produits de pêche, des conserves et semi-conserves</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01-062: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Détermination de la masse nette, de la </w:t>
            </w:r>
            <w:hyperlink r:id="rId13" w:history="1">
              <w:r w:rsidRPr="0061020E">
                <w:rPr>
                  <w:rFonts w:ascii="Rockwell" w:hAnsi="Rockwell"/>
                  <w:sz w:val="24"/>
                  <w:szCs w:val="24"/>
                </w:rPr>
                <w:t>masse</w:t>
              </w:r>
            </w:hyperlink>
            <w:r w:rsidRPr="0061020E">
              <w:rPr>
                <w:rFonts w:ascii="Rockwell" w:hAnsi="Rockwell"/>
                <w:sz w:val="24"/>
                <w:szCs w:val="24"/>
              </w:rPr>
              <w:t xml:space="preserve"> de poisson et du pourcentage de miettes dans les conserves de poisson avec milieu de couverture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01-063: 2009</w:t>
            </w:r>
          </w:p>
        </w:tc>
      </w:tr>
      <w:tr w:rsidR="00C02D57" w:rsidRPr="006847BA" w:rsidTr="00DD7EAB">
        <w:trPr>
          <w:trHeight w:val="70"/>
        </w:trPr>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017DA8" w:rsidP="008F6018">
            <w:pPr>
              <w:spacing w:after="120"/>
              <w:jc w:val="both"/>
              <w:rPr>
                <w:rFonts w:ascii="Rockwell" w:hAnsi="Rockwell"/>
                <w:sz w:val="24"/>
                <w:szCs w:val="24"/>
              </w:rPr>
            </w:pPr>
            <w:hyperlink r:id="rId14" w:history="1">
              <w:r w:rsidR="00C02D57" w:rsidRPr="0061020E">
                <w:rPr>
                  <w:rFonts w:ascii="Rockwell" w:hAnsi="Rockwell"/>
                  <w:sz w:val="24"/>
                  <w:szCs w:val="24"/>
                </w:rPr>
                <w:t>Code d'usages pour le poisson frais</w:t>
              </w:r>
            </w:hyperlink>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01-064: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recommandé pour le poisson congelé</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01-065: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pour le poisson fumé</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01-066: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pour le poisson salé</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01-067: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pour les crevettes</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01-068: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Code d'usages national recommandé en matière d'hygiène pour le traitement des cuisses de grenouilles</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01-069: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Guide de bonnes pratiques d'hygiène applicables dans les lieux de vente en gros des produits de la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01-070: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Guide de bonnes pratiques d'hygiène applicables dans les établissements de manipulation des produits de la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01-071: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Guide des règles sanitaires régissant la production et la mise sur le marché des produits de la pêche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01-072: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Guide pour l’évaluation organoleptique en laboratoire du poisson et des mollusques et crustacés</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01-073: 2009: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vAlign w:val="center"/>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L</w:t>
            </w:r>
            <w:r w:rsidR="003F293B">
              <w:rPr>
                <w:rFonts w:ascii="Rockwell" w:hAnsi="Rockwell"/>
                <w:sz w:val="24"/>
                <w:szCs w:val="24"/>
              </w:rPr>
              <w:t xml:space="preserve">ignes </w:t>
            </w:r>
            <w:r w:rsidRPr="0061020E">
              <w:rPr>
                <w:rStyle w:val="lev"/>
                <w:rFonts w:ascii="Rockwell" w:hAnsi="Rockwell"/>
                <w:b w:val="0"/>
                <w:bCs/>
                <w:sz w:val="24"/>
                <w:szCs w:val="24"/>
              </w:rPr>
              <w:t>directrices sur les contaminants chimiques du poisson et des produits du poisson</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01-074: 2009</w:t>
            </w:r>
          </w:p>
        </w:tc>
      </w:tr>
      <w:tr w:rsidR="00C02D57" w:rsidRPr="006847BA" w:rsidTr="00DD7EAB">
        <w:tc>
          <w:tcPr>
            <w:tcW w:w="1368" w:type="dxa"/>
          </w:tcPr>
          <w:p w:rsidR="00C02D57" w:rsidRPr="0061020E" w:rsidRDefault="00C02D57" w:rsidP="008F6018">
            <w:pPr>
              <w:pStyle w:val="Paragraphedeliste"/>
              <w:numPr>
                <w:ilvl w:val="0"/>
                <w:numId w:val="52"/>
              </w:numPr>
              <w:spacing w:after="120"/>
              <w:jc w:val="both"/>
              <w:rPr>
                <w:rFonts w:ascii="Rockwell" w:hAnsi="Rockwell"/>
                <w:sz w:val="24"/>
                <w:szCs w:val="24"/>
                <w:lang w:val="fr-FR"/>
              </w:rPr>
            </w:pPr>
          </w:p>
        </w:tc>
        <w:tc>
          <w:tcPr>
            <w:tcW w:w="6300" w:type="dxa"/>
            <w:vAlign w:val="center"/>
          </w:tcPr>
          <w:p w:rsidR="00C02D57" w:rsidRPr="0061020E" w:rsidRDefault="00C02D57" w:rsidP="004D51DA">
            <w:pPr>
              <w:spacing w:after="120"/>
              <w:jc w:val="both"/>
              <w:rPr>
                <w:rFonts w:ascii="Rockwell" w:hAnsi="Rockwell"/>
                <w:sz w:val="24"/>
                <w:szCs w:val="24"/>
              </w:rPr>
            </w:pPr>
            <w:r w:rsidRPr="0061020E">
              <w:rPr>
                <w:rStyle w:val="lev"/>
                <w:rFonts w:ascii="Rockwell" w:hAnsi="Rockwell"/>
                <w:b w:val="0"/>
                <w:bCs/>
                <w:sz w:val="24"/>
                <w:szCs w:val="24"/>
              </w:rPr>
              <w:t xml:space="preserve">Manuel des normes et des méthodes des produits du poisson : </w:t>
            </w:r>
            <w:r w:rsidR="004D51DA">
              <w:rPr>
                <w:rStyle w:val="lev"/>
                <w:rFonts w:ascii="Rockwell" w:hAnsi="Rockwell"/>
                <w:b w:val="0"/>
                <w:bCs/>
                <w:sz w:val="24"/>
                <w:szCs w:val="24"/>
              </w:rPr>
              <w:t>p</w:t>
            </w:r>
            <w:r w:rsidRPr="0061020E">
              <w:rPr>
                <w:rStyle w:val="lev"/>
                <w:rFonts w:ascii="Rockwell" w:hAnsi="Rockwell"/>
                <w:b w:val="0"/>
                <w:bCs/>
                <w:sz w:val="24"/>
                <w:szCs w:val="24"/>
              </w:rPr>
              <w:t>olitique et méthodes d'échantillonnage</w:t>
            </w:r>
          </w:p>
        </w:tc>
        <w:tc>
          <w:tcPr>
            <w:tcW w:w="253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01-075: 2009</w:t>
            </w:r>
          </w:p>
        </w:tc>
      </w:tr>
    </w:tbl>
    <w:p w:rsidR="00D23982" w:rsidRDefault="00D23982" w:rsidP="008F6018">
      <w:pPr>
        <w:pStyle w:val="Paragraphedeliste"/>
        <w:spacing w:after="120" w:line="240" w:lineRule="auto"/>
        <w:jc w:val="both"/>
        <w:rPr>
          <w:rFonts w:ascii="Rockwell" w:hAnsi="Rockwell"/>
          <w:b/>
          <w:bCs/>
          <w:sz w:val="24"/>
          <w:szCs w:val="24"/>
        </w:rPr>
      </w:pPr>
    </w:p>
    <w:p w:rsidR="003F293B" w:rsidRDefault="003F293B" w:rsidP="008F6018">
      <w:pPr>
        <w:pStyle w:val="Paragraphedeliste"/>
        <w:spacing w:after="120" w:line="240" w:lineRule="auto"/>
        <w:jc w:val="both"/>
        <w:rPr>
          <w:rFonts w:ascii="Rockwell" w:hAnsi="Rockwell"/>
          <w:b/>
          <w:bCs/>
          <w:sz w:val="24"/>
          <w:szCs w:val="24"/>
        </w:rPr>
      </w:pPr>
    </w:p>
    <w:p w:rsidR="003F293B" w:rsidRDefault="003F293B" w:rsidP="008F6018">
      <w:pPr>
        <w:pStyle w:val="Paragraphedeliste"/>
        <w:spacing w:after="120" w:line="240" w:lineRule="auto"/>
        <w:jc w:val="both"/>
        <w:rPr>
          <w:rFonts w:ascii="Rockwell" w:hAnsi="Rockwell"/>
          <w:b/>
          <w:bCs/>
          <w:sz w:val="24"/>
          <w:szCs w:val="24"/>
        </w:rPr>
      </w:pPr>
    </w:p>
    <w:p w:rsidR="00C02D57" w:rsidRPr="0061020E"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t>Produits oléagineux</w:t>
      </w:r>
    </w:p>
    <w:p w:rsidR="00C02D57" w:rsidRPr="0061020E" w:rsidRDefault="00C02D57" w:rsidP="008F6018">
      <w:pPr>
        <w:spacing w:after="120" w:line="240" w:lineRule="auto"/>
        <w:ind w:left="360"/>
        <w:jc w:val="both"/>
        <w:rPr>
          <w:rFonts w:ascii="Rockwell" w:hAnsi="Rockwell"/>
          <w:sz w:val="24"/>
          <w:szCs w:val="24"/>
        </w:rPr>
      </w:pPr>
    </w:p>
    <w:tbl>
      <w:tblPr>
        <w:tblStyle w:val="Grilledutableau"/>
        <w:tblW w:w="10103" w:type="dxa"/>
        <w:tblInd w:w="-72" w:type="dxa"/>
        <w:tblLook w:val="01E0" w:firstRow="1" w:lastRow="1" w:firstColumn="1" w:lastColumn="1" w:noHBand="0" w:noVBand="0"/>
      </w:tblPr>
      <w:tblGrid>
        <w:gridCol w:w="1440"/>
        <w:gridCol w:w="6300"/>
        <w:gridCol w:w="2363"/>
      </w:tblGrid>
      <w:tr w:rsidR="00C02D57" w:rsidRPr="00D23982" w:rsidTr="00F15AEF">
        <w:trPr>
          <w:tblHeader/>
        </w:trPr>
        <w:tc>
          <w:tcPr>
            <w:tcW w:w="1440" w:type="dxa"/>
          </w:tcPr>
          <w:p w:rsidR="00C02D57" w:rsidRPr="00D23982" w:rsidRDefault="00C02D57" w:rsidP="003F293B">
            <w:pPr>
              <w:spacing w:after="120"/>
              <w:jc w:val="center"/>
              <w:rPr>
                <w:rFonts w:ascii="Rockwell" w:hAnsi="Rockwell"/>
                <w:b/>
                <w:sz w:val="24"/>
                <w:lang w:val="fr-FR"/>
              </w:rPr>
            </w:pPr>
            <w:r w:rsidRPr="00D23982">
              <w:rPr>
                <w:rFonts w:ascii="Rockwell" w:hAnsi="Rockwell"/>
                <w:b/>
                <w:sz w:val="24"/>
              </w:rPr>
              <w:lastRenderedPageBreak/>
              <w:t>N</w:t>
            </w:r>
            <w:r w:rsidRPr="00D23982">
              <w:rPr>
                <w:rFonts w:ascii="Rockwell" w:hAnsi="Rockwell"/>
                <w:b/>
                <w:sz w:val="24"/>
                <w:vertAlign w:val="superscript"/>
              </w:rPr>
              <w:t>o</w:t>
            </w:r>
            <w:r w:rsidRPr="00D23982">
              <w:rPr>
                <w:rFonts w:ascii="Rockwell" w:hAnsi="Rockwell"/>
                <w:b/>
                <w:sz w:val="24"/>
              </w:rPr>
              <w:t xml:space="preserve"> d’ordre</w:t>
            </w:r>
          </w:p>
        </w:tc>
        <w:tc>
          <w:tcPr>
            <w:tcW w:w="6300" w:type="dxa"/>
            <w:vAlign w:val="center"/>
          </w:tcPr>
          <w:p w:rsidR="00C02D57" w:rsidRPr="00D23982" w:rsidRDefault="00C02D57" w:rsidP="003F293B">
            <w:pPr>
              <w:spacing w:after="120"/>
              <w:jc w:val="center"/>
              <w:rPr>
                <w:rFonts w:ascii="Rockwell" w:hAnsi="Rockwell"/>
                <w:b/>
                <w:sz w:val="24"/>
                <w:lang w:val="fr-FR"/>
              </w:rPr>
            </w:pPr>
            <w:r w:rsidRPr="00D23982">
              <w:rPr>
                <w:rFonts w:ascii="Rockwell" w:hAnsi="Rockwell"/>
                <w:b/>
                <w:sz w:val="24"/>
              </w:rPr>
              <w:t>Désignation</w:t>
            </w:r>
          </w:p>
        </w:tc>
        <w:tc>
          <w:tcPr>
            <w:tcW w:w="2363" w:type="dxa"/>
            <w:vAlign w:val="center"/>
          </w:tcPr>
          <w:p w:rsidR="00C02D57" w:rsidRPr="00D23982" w:rsidRDefault="00C02D57" w:rsidP="003F293B">
            <w:pPr>
              <w:spacing w:after="120"/>
              <w:jc w:val="center"/>
              <w:rPr>
                <w:rFonts w:ascii="Rockwell" w:hAnsi="Rockwell"/>
                <w:b/>
                <w:sz w:val="24"/>
                <w:lang w:val="fr-FR"/>
              </w:rPr>
            </w:pPr>
            <w:r w:rsidRPr="00D23982">
              <w:rPr>
                <w:rFonts w:ascii="Rockwell" w:hAnsi="Rockwell"/>
                <w:b/>
                <w:sz w:val="24"/>
              </w:rPr>
              <w:t>Norme à référencer</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carthame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01-127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 xml:space="preserve">uile comestible de colza : spécifications </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01-128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carthame à haute teneur en acide oléique: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01-129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coco: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01-130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3F293B" w:rsidRDefault="004D51DA" w:rsidP="008F6018">
            <w:pPr>
              <w:spacing w:after="120"/>
              <w:jc w:val="both"/>
              <w:rPr>
                <w:rFonts w:ascii="Rockwell" w:hAnsi="Rockwell"/>
                <w:sz w:val="24"/>
                <w:szCs w:val="24"/>
              </w:rPr>
            </w:pPr>
            <w:r>
              <w:rPr>
                <w:rFonts w:ascii="Rockwell" w:hAnsi="Rockwell"/>
                <w:sz w:val="24"/>
                <w:szCs w:val="24"/>
              </w:rPr>
              <w:t>H</w:t>
            </w:r>
            <w:r w:rsidRPr="0061020E">
              <w:rPr>
                <w:rFonts w:ascii="Rockwell" w:hAnsi="Rockwell"/>
                <w:sz w:val="24"/>
                <w:szCs w:val="24"/>
              </w:rPr>
              <w:t>uile comestible de colza à faible teneur en acide érucique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01-131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ma</w:t>
            </w:r>
            <w:r w:rsidRPr="0061020E">
              <w:rPr>
                <w:rFonts w:ascii="Times New Roman" w:hAnsi="Times New Roman" w:cs="Times New Roman"/>
                <w:sz w:val="24"/>
                <w:szCs w:val="24"/>
              </w:rPr>
              <w:t>ї</w:t>
            </w:r>
            <w:r w:rsidRPr="0061020E">
              <w:rPr>
                <w:rFonts w:ascii="Rockwell" w:hAnsi="Rockwell"/>
                <w:sz w:val="24"/>
                <w:szCs w:val="24"/>
              </w:rPr>
              <w:t>s</w:t>
            </w:r>
            <w:r w:rsidRPr="0061020E">
              <w:rPr>
                <w:rFonts w:ascii="Rockwell" w:hAnsi="Rockwell" w:cs="Rockwell"/>
                <w:sz w:val="24"/>
                <w:szCs w:val="24"/>
              </w:rPr>
              <w:t> </w:t>
            </w:r>
            <w:r w:rsidRPr="0061020E">
              <w:rPr>
                <w:rFonts w:ascii="Rockwell" w:hAnsi="Rockwell"/>
                <w:sz w:val="24"/>
                <w:szCs w:val="24"/>
              </w:rPr>
              <w:t>: sp</w:t>
            </w:r>
            <w:r w:rsidRPr="0061020E">
              <w:rPr>
                <w:rFonts w:ascii="Rockwell" w:hAnsi="Rockwell" w:cs="Rockwell"/>
                <w:sz w:val="24"/>
                <w:szCs w:val="24"/>
              </w:rPr>
              <w:t>é</w:t>
            </w:r>
            <w:r w:rsidRPr="0061020E">
              <w:rPr>
                <w:rFonts w:ascii="Rockwell" w:hAnsi="Rockwell"/>
                <w:sz w:val="24"/>
                <w:szCs w:val="24"/>
              </w:rPr>
              <w:t>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01-132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tournesol à forte teneur en acide oléique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01-133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w:t>
            </w:r>
            <w:r w:rsidR="007F2B10">
              <w:rPr>
                <w:rFonts w:ascii="Rockwell" w:hAnsi="Rockwell"/>
                <w:sz w:val="24"/>
                <w:szCs w:val="24"/>
              </w:rPr>
              <w:t>s</w:t>
            </w:r>
            <w:r w:rsidRPr="0061020E">
              <w:rPr>
                <w:rFonts w:ascii="Rockwell" w:hAnsi="Rockwell"/>
                <w:sz w:val="24"/>
                <w:szCs w:val="24"/>
              </w:rPr>
              <w:t xml:space="preserve"> comestible</w:t>
            </w:r>
            <w:r w:rsidR="007F2B10">
              <w:rPr>
                <w:rFonts w:ascii="Rockwell" w:hAnsi="Rockwell"/>
                <w:sz w:val="24"/>
                <w:szCs w:val="24"/>
              </w:rPr>
              <w:t>s</w:t>
            </w:r>
            <w:r w:rsidRPr="0061020E">
              <w:rPr>
                <w:rFonts w:ascii="Rockwell" w:hAnsi="Rockwell"/>
                <w:sz w:val="24"/>
                <w:szCs w:val="24"/>
              </w:rPr>
              <w:t xml:space="preserve"> non visées par des normes individuelles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01-134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moutarde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01-135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O</w:t>
            </w:r>
            <w:r w:rsidRPr="0061020E">
              <w:rPr>
                <w:rFonts w:ascii="Rockwell" w:hAnsi="Rockwell"/>
                <w:sz w:val="24"/>
                <w:szCs w:val="24"/>
              </w:rPr>
              <w:t>léine de palme comestible: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01-136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palme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01-137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S</w:t>
            </w:r>
            <w:r w:rsidRPr="0061020E">
              <w:rPr>
                <w:rFonts w:ascii="Rockwell" w:hAnsi="Rockwell"/>
                <w:sz w:val="24"/>
                <w:szCs w:val="24"/>
              </w:rPr>
              <w:t>téarine de palme comestible: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01-138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tournesol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01-139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coton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01-140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uiles d’olive et les huiles de grignons d’olive: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01-141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palmiste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01-142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sésame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01-143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de soja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01-144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H</w:t>
            </w:r>
            <w:r w:rsidRPr="0061020E">
              <w:rPr>
                <w:rFonts w:ascii="Rockwell" w:hAnsi="Rockwell"/>
                <w:sz w:val="24"/>
                <w:szCs w:val="24"/>
              </w:rPr>
              <w:t>uile comestible d’arachide: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01-145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T</w:t>
            </w:r>
            <w:r w:rsidRPr="0061020E">
              <w:rPr>
                <w:rFonts w:ascii="Rockwell" w:hAnsi="Rockwell"/>
                <w:sz w:val="24"/>
                <w:szCs w:val="24"/>
              </w:rPr>
              <w:t xml:space="preserve">ourteaux de graines oléagineuses: détermination de la teneur en matières grasses </w:t>
            </w:r>
          </w:p>
          <w:p w:rsidR="00C02D57" w:rsidRPr="0061020E" w:rsidRDefault="004D51DA" w:rsidP="008F6018">
            <w:pPr>
              <w:spacing w:after="120"/>
              <w:jc w:val="both"/>
              <w:rPr>
                <w:rFonts w:ascii="Rockwell" w:hAnsi="Rockwell"/>
                <w:sz w:val="24"/>
                <w:szCs w:val="24"/>
                <w:lang w:val="fr-FR"/>
              </w:rPr>
            </w:pPr>
            <w:r>
              <w:rPr>
                <w:rFonts w:ascii="Rockwell" w:hAnsi="Rockwell"/>
                <w:sz w:val="24"/>
                <w:szCs w:val="24"/>
              </w:rPr>
              <w:t>P</w:t>
            </w:r>
            <w:r w:rsidRPr="0061020E">
              <w:rPr>
                <w:rFonts w:ascii="Rockwell" w:hAnsi="Rockwell"/>
                <w:sz w:val="24"/>
                <w:szCs w:val="24"/>
              </w:rPr>
              <w:t>artie 1 : méthode par extraction à l’hexane (ou à l’éther de pétrole)</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01-146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sidRPr="0061020E">
              <w:rPr>
                <w:rFonts w:ascii="Rockwell" w:hAnsi="Rockwell"/>
                <w:sz w:val="24"/>
                <w:szCs w:val="24"/>
              </w:rPr>
              <w:t xml:space="preserve">tourteaux de graines oléagineuses: détermination de la teneur en huile            </w:t>
            </w:r>
          </w:p>
          <w:p w:rsidR="00C02D57" w:rsidRPr="0061020E" w:rsidRDefault="004D51DA" w:rsidP="008F6018">
            <w:pPr>
              <w:spacing w:after="120"/>
              <w:jc w:val="both"/>
              <w:rPr>
                <w:rFonts w:ascii="Rockwell" w:hAnsi="Rockwell"/>
                <w:sz w:val="24"/>
                <w:szCs w:val="24"/>
                <w:lang w:val="fr-FR"/>
              </w:rPr>
            </w:pPr>
            <w:r>
              <w:rPr>
                <w:rFonts w:ascii="Rockwell" w:hAnsi="Rockwell"/>
                <w:sz w:val="24"/>
                <w:szCs w:val="24"/>
              </w:rPr>
              <w:t>P</w:t>
            </w:r>
            <w:r w:rsidRPr="0061020E">
              <w:rPr>
                <w:rFonts w:ascii="Rockwell" w:hAnsi="Rockwell"/>
                <w:sz w:val="24"/>
                <w:szCs w:val="24"/>
              </w:rPr>
              <w:t>artie 2 : méthode rapide par extraction</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01-147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G</w:t>
            </w:r>
            <w:r w:rsidRPr="0061020E">
              <w:rPr>
                <w:rFonts w:ascii="Rockwell" w:hAnsi="Rockwell"/>
                <w:sz w:val="24"/>
                <w:szCs w:val="24"/>
              </w:rPr>
              <w:t>raines oléagineuses: détermination de la teneur en eau et en matières volatiles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01-148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4D51DA" w:rsidP="008F6018">
            <w:pPr>
              <w:spacing w:after="120"/>
              <w:jc w:val="both"/>
              <w:rPr>
                <w:rFonts w:ascii="Rockwell" w:hAnsi="Rockwell"/>
                <w:sz w:val="24"/>
                <w:szCs w:val="24"/>
                <w:lang w:val="fr-FR"/>
              </w:rPr>
            </w:pPr>
            <w:r>
              <w:rPr>
                <w:rFonts w:ascii="Rockwell" w:hAnsi="Rockwell"/>
                <w:sz w:val="24"/>
                <w:szCs w:val="24"/>
              </w:rPr>
              <w:t>T</w:t>
            </w:r>
            <w:r w:rsidRPr="0061020E">
              <w:rPr>
                <w:rFonts w:ascii="Rockwell" w:hAnsi="Rockwell"/>
                <w:sz w:val="24"/>
                <w:szCs w:val="24"/>
              </w:rPr>
              <w:t xml:space="preserve">ourteaux de graines oléagineuses: détermination de la teneur en eau et en matières volatiles </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01-149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 xml:space="preserve">Graines oléagineuses: </w:t>
            </w:r>
            <w:r w:rsidR="007F2B10">
              <w:rPr>
                <w:rFonts w:ascii="Rockwell" w:hAnsi="Rockwell"/>
                <w:sz w:val="24"/>
                <w:szCs w:val="24"/>
              </w:rPr>
              <w:t>d</w:t>
            </w:r>
            <w:r w:rsidRPr="0061020E">
              <w:rPr>
                <w:rFonts w:ascii="Rockwell" w:hAnsi="Rockwell"/>
                <w:sz w:val="24"/>
                <w:szCs w:val="24"/>
              </w:rPr>
              <w:t>étermination de l’acidité des corps gras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01-150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Code d’usages recommandé pour l’entreposage et le transport des corps gras d’origine végétale </w:t>
            </w:r>
            <w:r w:rsidRPr="0061020E">
              <w:rPr>
                <w:rFonts w:ascii="Rockwell" w:hAnsi="Rockwell"/>
                <w:sz w:val="24"/>
                <w:szCs w:val="24"/>
              </w:rPr>
              <w:lastRenderedPageBreak/>
              <w:t>comestibles en vrac</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lastRenderedPageBreak/>
              <w:t>NBF 01-151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Code d’usages recommandé en matière d’hygiène pour les fruits à coques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01-152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Limite maximale et de plans d’échantillonnage pour les aflatoxines totales dans les arachides destinées à une transformation ultérieure</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01-153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Graines oléagineuses : corps gras d’origine végétale, nomenclature</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01-154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 xml:space="preserve">Graines oléagineuses: </w:t>
            </w:r>
            <w:r w:rsidR="007F2B10">
              <w:rPr>
                <w:rFonts w:ascii="Rockwell" w:hAnsi="Rockwell"/>
                <w:sz w:val="24"/>
                <w:szCs w:val="24"/>
              </w:rPr>
              <w:t>d</w:t>
            </w:r>
            <w:r w:rsidRPr="0061020E">
              <w:rPr>
                <w:rFonts w:ascii="Rockwell" w:hAnsi="Rockwell"/>
                <w:sz w:val="24"/>
                <w:szCs w:val="24"/>
              </w:rPr>
              <w:t>étermination de la teneur en matières grasses (</w:t>
            </w:r>
            <w:r w:rsidR="007F2B10">
              <w:rPr>
                <w:rFonts w:ascii="Rockwell" w:hAnsi="Rockwell"/>
                <w:sz w:val="24"/>
                <w:szCs w:val="24"/>
              </w:rPr>
              <w:t>m</w:t>
            </w:r>
            <w:r w:rsidRPr="0061020E">
              <w:rPr>
                <w:rFonts w:ascii="Rockwell" w:hAnsi="Rockwell"/>
                <w:sz w:val="24"/>
                <w:szCs w:val="24"/>
              </w:rPr>
              <w:t>éthode de référence)</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01-155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Norme pour les arachides : Spécifications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01-156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Code d’usages recommandé en matière d’hygiène pour les arachides (cacahuètes)</w:t>
            </w:r>
          </w:p>
        </w:tc>
        <w:tc>
          <w:tcPr>
            <w:tcW w:w="236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01-157 : 2009</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Borders>
              <w:top w:val="single" w:sz="6" w:space="0" w:color="000000"/>
              <w:left w:val="single" w:sz="6" w:space="0" w:color="000000"/>
              <w:bottom w:val="single" w:sz="6" w:space="0" w:color="000000"/>
              <w:right w:val="single" w:sz="6" w:space="0" w:color="000000"/>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Amandes de karité : Spécifications </w:t>
            </w:r>
          </w:p>
        </w:tc>
        <w:tc>
          <w:tcPr>
            <w:tcW w:w="2363" w:type="dxa"/>
            <w:tcBorders>
              <w:top w:val="single" w:sz="6" w:space="0" w:color="000000"/>
              <w:left w:val="single" w:sz="6" w:space="0" w:color="000000"/>
              <w:bottom w:val="single" w:sz="6" w:space="0" w:color="000000"/>
              <w:right w:val="single" w:sz="12" w:space="0" w:color="000000"/>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01-004 : 2006</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Borders>
              <w:top w:val="single" w:sz="6" w:space="0" w:color="000000"/>
              <w:left w:val="single" w:sz="6" w:space="0" w:color="000000"/>
              <w:bottom w:val="single" w:sz="6" w:space="0" w:color="000000"/>
              <w:right w:val="single" w:sz="6" w:space="0" w:color="000000"/>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Beurre de karité : Spécifications </w:t>
            </w:r>
          </w:p>
        </w:tc>
        <w:tc>
          <w:tcPr>
            <w:tcW w:w="2363" w:type="dxa"/>
            <w:tcBorders>
              <w:top w:val="single" w:sz="6" w:space="0" w:color="000000"/>
              <w:left w:val="single" w:sz="6" w:space="0" w:color="000000"/>
              <w:bottom w:val="single" w:sz="6" w:space="0" w:color="000000"/>
              <w:right w:val="single" w:sz="12" w:space="0" w:color="000000"/>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01-005 : 2006</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Borders>
              <w:top w:val="single" w:sz="6" w:space="0" w:color="000000"/>
              <w:left w:val="single" w:sz="6" w:space="0" w:color="000000"/>
              <w:bottom w:val="single" w:sz="6" w:space="0" w:color="000000"/>
              <w:right w:val="single" w:sz="6" w:space="0" w:color="000000"/>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Noix de cajou : Spécifications </w:t>
            </w:r>
          </w:p>
        </w:tc>
        <w:tc>
          <w:tcPr>
            <w:tcW w:w="2363" w:type="dxa"/>
            <w:tcBorders>
              <w:top w:val="single" w:sz="6" w:space="0" w:color="000000"/>
              <w:left w:val="single" w:sz="6" w:space="0" w:color="000000"/>
              <w:bottom w:val="single" w:sz="6" w:space="0" w:color="000000"/>
              <w:right w:val="single" w:sz="12" w:space="0" w:color="000000"/>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01-006 : 2006</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Borders>
              <w:top w:val="single" w:sz="6" w:space="0" w:color="000000"/>
              <w:left w:val="single" w:sz="6" w:space="0" w:color="000000"/>
              <w:bottom w:val="single" w:sz="6" w:space="0" w:color="000000"/>
              <w:right w:val="single" w:sz="6" w:space="0" w:color="000000"/>
            </w:tcBorders>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Amandes de noix de cajou : Spécifications </w:t>
            </w:r>
          </w:p>
        </w:tc>
        <w:tc>
          <w:tcPr>
            <w:tcW w:w="2363" w:type="dxa"/>
            <w:tcBorders>
              <w:top w:val="single" w:sz="6" w:space="0" w:color="000000"/>
              <w:left w:val="single" w:sz="6" w:space="0" w:color="000000"/>
              <w:bottom w:val="single" w:sz="6" w:space="0" w:color="000000"/>
              <w:right w:val="single" w:sz="12" w:space="0" w:color="000000"/>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01-007 : 2006</w:t>
            </w:r>
          </w:p>
        </w:tc>
      </w:tr>
      <w:tr w:rsidR="00C02D57" w:rsidRPr="006847BA" w:rsidTr="00DD7EAB">
        <w:tc>
          <w:tcPr>
            <w:tcW w:w="1440" w:type="dxa"/>
          </w:tcPr>
          <w:p w:rsidR="00C02D57" w:rsidRPr="0061020E" w:rsidRDefault="00C02D57" w:rsidP="008F6018">
            <w:pPr>
              <w:pStyle w:val="Paragraphedeliste"/>
              <w:numPr>
                <w:ilvl w:val="0"/>
                <w:numId w:val="53"/>
              </w:numPr>
              <w:spacing w:after="120"/>
              <w:jc w:val="both"/>
              <w:rPr>
                <w:rFonts w:ascii="Rockwell" w:hAnsi="Rockwell"/>
                <w:sz w:val="24"/>
                <w:szCs w:val="24"/>
                <w:lang w:val="fr-FR"/>
              </w:rPr>
            </w:pPr>
          </w:p>
        </w:tc>
        <w:tc>
          <w:tcPr>
            <w:tcW w:w="6300" w:type="dxa"/>
            <w:tcBorders>
              <w:top w:val="single" w:sz="6" w:space="0" w:color="000000"/>
              <w:left w:val="single" w:sz="6" w:space="0" w:color="000000"/>
              <w:bottom w:val="single" w:sz="6" w:space="0" w:color="000000"/>
              <w:right w:val="single" w:sz="6" w:space="0" w:color="000000"/>
            </w:tcBorders>
          </w:tcPr>
          <w:p w:rsidR="00C02D57" w:rsidRPr="0061020E" w:rsidRDefault="00C02D57" w:rsidP="003F293B">
            <w:pPr>
              <w:spacing w:after="120"/>
              <w:jc w:val="both"/>
              <w:rPr>
                <w:rFonts w:ascii="Rockwell" w:hAnsi="Rockwell"/>
                <w:sz w:val="24"/>
                <w:szCs w:val="24"/>
                <w:lang w:val="fr-FR"/>
              </w:rPr>
            </w:pPr>
            <w:r w:rsidRPr="0061020E">
              <w:rPr>
                <w:rFonts w:ascii="Rockwell" w:hAnsi="Rockwell"/>
                <w:sz w:val="24"/>
                <w:szCs w:val="24"/>
              </w:rPr>
              <w:t xml:space="preserve">Sésame : Spécifications </w:t>
            </w:r>
          </w:p>
        </w:tc>
        <w:tc>
          <w:tcPr>
            <w:tcW w:w="2363" w:type="dxa"/>
            <w:tcBorders>
              <w:top w:val="single" w:sz="6" w:space="0" w:color="000000"/>
              <w:left w:val="single" w:sz="6" w:space="0" w:color="000000"/>
              <w:bottom w:val="single" w:sz="6" w:space="0" w:color="000000"/>
              <w:right w:val="single" w:sz="12" w:space="0" w:color="000000"/>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01-008 : 2006</w:t>
            </w:r>
          </w:p>
        </w:tc>
      </w:tr>
    </w:tbl>
    <w:p w:rsidR="00C02D57" w:rsidRPr="0061020E" w:rsidRDefault="00C02D57" w:rsidP="008F6018">
      <w:pPr>
        <w:spacing w:after="120" w:line="240" w:lineRule="auto"/>
        <w:ind w:left="360"/>
        <w:jc w:val="both"/>
        <w:rPr>
          <w:rFonts w:ascii="Rockwell" w:hAnsi="Rockwell"/>
          <w:sz w:val="24"/>
          <w:szCs w:val="24"/>
        </w:rPr>
      </w:pPr>
    </w:p>
    <w:p w:rsidR="00C02D57" w:rsidRPr="0061020E"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t xml:space="preserve">Huiles et farines enrichies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5"/>
        <w:gridCol w:w="6266"/>
        <w:gridCol w:w="2410"/>
      </w:tblGrid>
      <w:tr w:rsidR="00C02D57" w:rsidRPr="00D23982" w:rsidTr="003F293B">
        <w:trPr>
          <w:tblHeader/>
        </w:trPr>
        <w:tc>
          <w:tcPr>
            <w:tcW w:w="1355" w:type="dxa"/>
          </w:tcPr>
          <w:p w:rsidR="00C02D57" w:rsidRPr="00D23982" w:rsidRDefault="00C02D57" w:rsidP="00AE65B6">
            <w:pPr>
              <w:spacing w:after="120" w:line="240" w:lineRule="auto"/>
              <w:jc w:val="center"/>
              <w:rPr>
                <w:rFonts w:ascii="Rockwell" w:hAnsi="Rockwell"/>
                <w:b/>
                <w:sz w:val="24"/>
              </w:rPr>
            </w:pPr>
            <w:r w:rsidRPr="00D23982">
              <w:rPr>
                <w:rFonts w:ascii="Rockwell" w:hAnsi="Rockwell"/>
                <w:b/>
                <w:sz w:val="24"/>
              </w:rPr>
              <w:t>No d’ordre</w:t>
            </w:r>
          </w:p>
        </w:tc>
        <w:tc>
          <w:tcPr>
            <w:tcW w:w="6266" w:type="dxa"/>
            <w:vAlign w:val="center"/>
          </w:tcPr>
          <w:p w:rsidR="00C02D57" w:rsidRPr="00D23982" w:rsidRDefault="00C02D57" w:rsidP="00AE65B6">
            <w:pPr>
              <w:spacing w:after="120" w:line="240" w:lineRule="auto"/>
              <w:jc w:val="center"/>
              <w:rPr>
                <w:rFonts w:ascii="Rockwell" w:hAnsi="Rockwell"/>
                <w:b/>
                <w:sz w:val="24"/>
              </w:rPr>
            </w:pPr>
            <w:r w:rsidRPr="00D23982">
              <w:rPr>
                <w:rFonts w:ascii="Rockwell" w:hAnsi="Rockwell"/>
                <w:b/>
                <w:sz w:val="24"/>
              </w:rPr>
              <w:t>Désignation</w:t>
            </w:r>
          </w:p>
        </w:tc>
        <w:tc>
          <w:tcPr>
            <w:tcW w:w="2410" w:type="dxa"/>
            <w:vAlign w:val="center"/>
          </w:tcPr>
          <w:p w:rsidR="00C02D57" w:rsidRPr="00D23982" w:rsidRDefault="00C02D57" w:rsidP="00AE65B6">
            <w:pPr>
              <w:spacing w:after="120" w:line="240" w:lineRule="auto"/>
              <w:jc w:val="center"/>
              <w:rPr>
                <w:rFonts w:ascii="Rockwell" w:hAnsi="Rockwell"/>
                <w:b/>
                <w:bCs/>
                <w:sz w:val="24"/>
              </w:rPr>
            </w:pPr>
            <w:r w:rsidRPr="00D23982">
              <w:rPr>
                <w:rFonts w:ascii="Rockwell" w:hAnsi="Rockwell"/>
                <w:b/>
                <w:sz w:val="24"/>
              </w:rPr>
              <w:t>Norme à référencer</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1</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palme raffinée enrichie en vitamine A – Spécifications </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01-187 :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2</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coton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01-188: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3</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d’arachide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01-189: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4</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soja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01-190: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5</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palmiste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01-191: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6</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coco raffinée enrichie en vitamine A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01-192: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7</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tournesol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01-193: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8</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 xml:space="preserve">Huile comestible de colza raffinée enrichie en vitamine A – Spécifications </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01-194: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t>9</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Huile comestible de maïs raffinée enrichie en vitamine A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01-195: 2010</w:t>
            </w:r>
          </w:p>
        </w:tc>
      </w:tr>
      <w:tr w:rsidR="00C02D57" w:rsidRPr="006847BA" w:rsidTr="00DD7EAB">
        <w:tc>
          <w:tcPr>
            <w:tcW w:w="1355" w:type="dxa"/>
          </w:tcPr>
          <w:p w:rsidR="00C02D57" w:rsidRPr="0061020E" w:rsidRDefault="00C02D57" w:rsidP="00AE65B6">
            <w:pPr>
              <w:spacing w:after="120" w:line="240" w:lineRule="auto"/>
              <w:jc w:val="right"/>
              <w:rPr>
                <w:rFonts w:ascii="Rockwell" w:hAnsi="Rockwell"/>
                <w:sz w:val="24"/>
                <w:szCs w:val="24"/>
              </w:rPr>
            </w:pPr>
            <w:r w:rsidRPr="0061020E">
              <w:rPr>
                <w:rFonts w:ascii="Rockwell" w:hAnsi="Rockwell"/>
                <w:sz w:val="24"/>
                <w:szCs w:val="24"/>
              </w:rPr>
              <w:lastRenderedPageBreak/>
              <w:t>10</w:t>
            </w:r>
          </w:p>
        </w:tc>
        <w:tc>
          <w:tcPr>
            <w:tcW w:w="6266"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Farine de blé tendre enrichie en fer et acide folique - Spécifications</w:t>
            </w:r>
          </w:p>
        </w:tc>
        <w:tc>
          <w:tcPr>
            <w:tcW w:w="2410" w:type="dxa"/>
          </w:tcPr>
          <w:p w:rsidR="00C02D57" w:rsidRPr="0061020E" w:rsidRDefault="00C02D57" w:rsidP="008F6018">
            <w:pPr>
              <w:spacing w:after="120" w:line="240" w:lineRule="auto"/>
              <w:jc w:val="both"/>
              <w:rPr>
                <w:rFonts w:ascii="Rockwell" w:hAnsi="Rockwell"/>
                <w:sz w:val="24"/>
                <w:szCs w:val="24"/>
              </w:rPr>
            </w:pPr>
            <w:r w:rsidRPr="0061020E">
              <w:rPr>
                <w:rFonts w:ascii="Rockwell" w:hAnsi="Rockwell"/>
                <w:sz w:val="24"/>
                <w:szCs w:val="24"/>
              </w:rPr>
              <w:t>NBF 01-196 : 2010</w:t>
            </w:r>
          </w:p>
        </w:tc>
      </w:tr>
    </w:tbl>
    <w:p w:rsidR="00D23982" w:rsidRDefault="00D23982" w:rsidP="008F6018">
      <w:pPr>
        <w:spacing w:after="120" w:line="240" w:lineRule="auto"/>
        <w:ind w:left="360"/>
        <w:jc w:val="both"/>
        <w:rPr>
          <w:rFonts w:ascii="Rockwell" w:hAnsi="Rockwell"/>
          <w:sz w:val="24"/>
          <w:szCs w:val="24"/>
        </w:rPr>
      </w:pPr>
    </w:p>
    <w:p w:rsidR="00D23982" w:rsidRDefault="00D23982" w:rsidP="008F6018">
      <w:pPr>
        <w:spacing w:after="120" w:line="240" w:lineRule="auto"/>
        <w:jc w:val="both"/>
        <w:rPr>
          <w:rFonts w:ascii="Rockwell" w:hAnsi="Rockwell"/>
          <w:sz w:val="24"/>
          <w:szCs w:val="24"/>
        </w:rPr>
      </w:pPr>
      <w:r>
        <w:rPr>
          <w:rFonts w:ascii="Rockwell" w:hAnsi="Rockwell"/>
          <w:sz w:val="24"/>
          <w:szCs w:val="24"/>
        </w:rPr>
        <w:br w:type="page"/>
      </w:r>
    </w:p>
    <w:p w:rsidR="00C02D57" w:rsidRPr="0061020E"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lastRenderedPageBreak/>
        <w:t>Produits Animaux</w:t>
      </w:r>
    </w:p>
    <w:tbl>
      <w:tblPr>
        <w:tblStyle w:val="Grilledutableau"/>
        <w:tblW w:w="10103" w:type="dxa"/>
        <w:tblInd w:w="-72" w:type="dxa"/>
        <w:tblLook w:val="01E0" w:firstRow="1" w:lastRow="1" w:firstColumn="1" w:lastColumn="1" w:noHBand="0" w:noVBand="0"/>
      </w:tblPr>
      <w:tblGrid>
        <w:gridCol w:w="1440"/>
        <w:gridCol w:w="6282"/>
        <w:gridCol w:w="2381"/>
      </w:tblGrid>
      <w:tr w:rsidR="00C02D57" w:rsidRPr="00D23982" w:rsidTr="00AE65B6">
        <w:trPr>
          <w:tblHeader/>
        </w:trPr>
        <w:tc>
          <w:tcPr>
            <w:tcW w:w="1440" w:type="dxa"/>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N</w:t>
            </w:r>
            <w:r w:rsidRPr="00D23982">
              <w:rPr>
                <w:rFonts w:ascii="Rockwell" w:hAnsi="Rockwell"/>
                <w:b/>
                <w:sz w:val="24"/>
                <w:vertAlign w:val="superscript"/>
              </w:rPr>
              <w:t>o</w:t>
            </w:r>
            <w:r w:rsidRPr="00D23982">
              <w:rPr>
                <w:rFonts w:ascii="Rockwell" w:hAnsi="Rockwell"/>
                <w:b/>
                <w:sz w:val="24"/>
              </w:rPr>
              <w:t xml:space="preserve"> d’ordre</w:t>
            </w:r>
          </w:p>
        </w:tc>
        <w:tc>
          <w:tcPr>
            <w:tcW w:w="6282" w:type="dxa"/>
            <w:vAlign w:val="center"/>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Désignation</w:t>
            </w:r>
          </w:p>
        </w:tc>
        <w:tc>
          <w:tcPr>
            <w:tcW w:w="2381" w:type="dxa"/>
            <w:vAlign w:val="center"/>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Norme à référencer</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Lait et produits laitiers - Ligne directrice pour une description normalisée des méthodes microbiologiques de dépistage d’inhibiteurs microbiens.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NBF-01-158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w:t>
            </w:r>
          </w:p>
        </w:tc>
        <w:tc>
          <w:tcPr>
            <w:tcW w:w="6282" w:type="dxa"/>
          </w:tcPr>
          <w:p w:rsidR="00C02D57" w:rsidRPr="0061020E" w:rsidRDefault="00C02D57" w:rsidP="007F2B10">
            <w:pPr>
              <w:spacing w:after="120"/>
              <w:jc w:val="both"/>
              <w:rPr>
                <w:rFonts w:ascii="Rockwell" w:hAnsi="Rockwell"/>
                <w:color w:val="000000"/>
                <w:sz w:val="24"/>
                <w:szCs w:val="24"/>
              </w:rPr>
            </w:pPr>
            <w:r w:rsidRPr="0061020E">
              <w:rPr>
                <w:rFonts w:ascii="Rockwell" w:hAnsi="Rockwell"/>
                <w:color w:val="000000"/>
                <w:sz w:val="24"/>
                <w:szCs w:val="24"/>
              </w:rPr>
              <w:t>Directives pour la mise en place d’un programme de contrôle r</w:t>
            </w:r>
            <w:r w:rsidR="007F2B10">
              <w:rPr>
                <w:rFonts w:ascii="Rockwell" w:hAnsi="Rockwell"/>
                <w:color w:val="000000"/>
                <w:sz w:val="24"/>
                <w:szCs w:val="24"/>
              </w:rPr>
              <w:t>é</w:t>
            </w:r>
            <w:r w:rsidRPr="0061020E">
              <w:rPr>
                <w:rFonts w:ascii="Rockwell" w:hAnsi="Rockwell"/>
                <w:color w:val="000000"/>
                <w:sz w:val="24"/>
                <w:szCs w:val="24"/>
              </w:rPr>
              <w:t>glementaire des résidus de médicaments vétérinaires dans les aliments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NBF-01-159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Limites maximales pour le plomb</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4</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Norme générale pour l’utilisation de termes de laiterie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5</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Directives pour la conservation du lait cru par le système de lactopéroxydase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6</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Lait sec – détermination du taux d’humidité (méthode de référence)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7</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Lait et produits laitiers – Coagulants microbiens - Détermination de l’activité totale de coagulation du lait</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8</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Lait en  poudre et crème en poudre: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9</w:t>
            </w:r>
          </w:p>
        </w:tc>
        <w:tc>
          <w:tcPr>
            <w:tcW w:w="6282" w:type="dxa"/>
          </w:tcPr>
          <w:p w:rsidR="00C02D57" w:rsidRPr="0061020E" w:rsidRDefault="00C02D57" w:rsidP="007F2B10">
            <w:pPr>
              <w:spacing w:after="120"/>
              <w:jc w:val="both"/>
              <w:rPr>
                <w:rFonts w:ascii="Rockwell" w:hAnsi="Rockwell"/>
                <w:sz w:val="24"/>
                <w:szCs w:val="24"/>
              </w:rPr>
            </w:pPr>
            <w:r w:rsidRPr="0061020E">
              <w:rPr>
                <w:rFonts w:ascii="Rockwell" w:hAnsi="Rockwell"/>
                <w:sz w:val="24"/>
                <w:szCs w:val="24"/>
              </w:rPr>
              <w:t xml:space="preserve">Lait et produits laitiers – Lignes </w:t>
            </w:r>
            <w:r w:rsidR="007F2B10">
              <w:rPr>
                <w:rFonts w:ascii="Rockwell" w:hAnsi="Rockwell"/>
                <w:sz w:val="24"/>
                <w:szCs w:val="24"/>
              </w:rPr>
              <w:t>d</w:t>
            </w:r>
            <w:r w:rsidRPr="0061020E">
              <w:rPr>
                <w:rFonts w:ascii="Rockwell" w:hAnsi="Rockwell"/>
                <w:sz w:val="24"/>
                <w:szCs w:val="24"/>
              </w:rPr>
              <w:t xml:space="preserve">irectrices pour l’échantillonnage </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10</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Laits concentrés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11</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Laits concentrés sucrés – Détermination de la teneur en saccharose – méthode polarimétrie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12</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Laits fermentés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NBF-01-169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13</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Fromage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14</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Beurre – Détermination de la teneur en sel</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15</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Beurre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16</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Crème et crèmes préparées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17</w:t>
            </w:r>
          </w:p>
        </w:tc>
        <w:tc>
          <w:tcPr>
            <w:tcW w:w="6282"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Produits à base de matières grasses laitières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18</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Code d’usages en matière d’hygiène pour la viande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19</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 la teneur en azote (méthodes de référence)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20</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Mesurage du pH – Méthode de référence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21</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 la teneur en matière grasse libre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22</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 la teneur en matière grasse totale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NBF-01-179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23</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 la teneur en nitrites (méthodes de référence)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lastRenderedPageBreak/>
              <w:t>24</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 l’humidité (méthodes de référence)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25</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Viande et produits à base de viande – détermination des Escherichia coli – Méthode par comptage des colonies obtenues sur membranes à 44</w:t>
            </w:r>
            <w:r w:rsidRPr="0061020E">
              <w:rPr>
                <w:rFonts w:ascii="Rockwell" w:hAnsi="Rockwell"/>
                <w:color w:val="000000"/>
                <w:sz w:val="24"/>
                <w:szCs w:val="24"/>
                <w:vertAlign w:val="superscript"/>
              </w:rPr>
              <w:t>o</w:t>
            </w:r>
            <w:r w:rsidRPr="0061020E">
              <w:rPr>
                <w:rFonts w:ascii="Rockwell" w:hAnsi="Rockwell"/>
                <w:color w:val="000000"/>
                <w:sz w:val="24"/>
                <w:szCs w:val="24"/>
              </w:rPr>
              <w:t>C</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26</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Corned beef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27</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Jambon cuit : Spécifications</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28</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Code d’usages international recommandé en matière d’hygiène pour les produits à base d’œuf</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29</w:t>
            </w:r>
          </w:p>
        </w:tc>
        <w:tc>
          <w:tcPr>
            <w:tcW w:w="6282"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Directives pour la conception de mesures de contrôle des aliments vendus sur la voie publique en Afrique</w:t>
            </w:r>
          </w:p>
        </w:tc>
        <w:tc>
          <w:tcPr>
            <w:tcW w:w="2381"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NBF-01-186 : 2009</w:t>
            </w:r>
          </w:p>
        </w:tc>
      </w:tr>
    </w:tbl>
    <w:p w:rsidR="00E25D2A" w:rsidRDefault="00E25D2A" w:rsidP="008F6018">
      <w:pPr>
        <w:spacing w:after="120" w:line="240" w:lineRule="auto"/>
        <w:ind w:left="360"/>
        <w:jc w:val="both"/>
        <w:rPr>
          <w:rFonts w:ascii="Rockwell" w:hAnsi="Rockwell"/>
          <w:sz w:val="24"/>
          <w:szCs w:val="24"/>
        </w:rPr>
      </w:pPr>
    </w:p>
    <w:p w:rsidR="00AE65B6" w:rsidRPr="0061020E" w:rsidRDefault="00AE65B6" w:rsidP="008F6018">
      <w:pPr>
        <w:spacing w:after="120" w:line="240" w:lineRule="auto"/>
        <w:ind w:left="360"/>
        <w:jc w:val="both"/>
        <w:rPr>
          <w:rFonts w:ascii="Rockwell" w:hAnsi="Rockwell"/>
          <w:sz w:val="24"/>
          <w:szCs w:val="24"/>
        </w:rPr>
      </w:pPr>
    </w:p>
    <w:p w:rsidR="00C02D57" w:rsidRDefault="00C02D57" w:rsidP="008F6018">
      <w:pPr>
        <w:pStyle w:val="Paragraphedeliste"/>
        <w:numPr>
          <w:ilvl w:val="1"/>
          <w:numId w:val="49"/>
        </w:numPr>
        <w:spacing w:after="120" w:line="240" w:lineRule="auto"/>
        <w:jc w:val="both"/>
        <w:rPr>
          <w:rFonts w:ascii="Rockwell" w:hAnsi="Rockwell"/>
          <w:b/>
          <w:bCs/>
          <w:sz w:val="24"/>
          <w:szCs w:val="24"/>
        </w:rPr>
      </w:pPr>
      <w:r w:rsidRPr="0061020E">
        <w:rPr>
          <w:rFonts w:ascii="Rockwell" w:hAnsi="Rockwell"/>
          <w:b/>
          <w:bCs/>
          <w:sz w:val="24"/>
          <w:szCs w:val="24"/>
        </w:rPr>
        <w:t xml:space="preserve">Céréales et </w:t>
      </w:r>
      <w:r w:rsidR="007F2B10">
        <w:rPr>
          <w:rFonts w:ascii="Rockwell" w:hAnsi="Rockwell"/>
          <w:b/>
          <w:bCs/>
          <w:sz w:val="24"/>
          <w:szCs w:val="24"/>
        </w:rPr>
        <w:t>l</w:t>
      </w:r>
      <w:r w:rsidRPr="0061020E">
        <w:rPr>
          <w:rFonts w:ascii="Rockwell" w:hAnsi="Rockwell"/>
          <w:b/>
          <w:bCs/>
          <w:sz w:val="24"/>
          <w:szCs w:val="24"/>
        </w:rPr>
        <w:t>égumineuses</w:t>
      </w:r>
    </w:p>
    <w:p w:rsidR="00AE65B6" w:rsidRPr="0061020E" w:rsidRDefault="00AE65B6" w:rsidP="00AE65B6">
      <w:pPr>
        <w:pStyle w:val="Paragraphedeliste"/>
        <w:spacing w:after="120" w:line="240" w:lineRule="auto"/>
        <w:jc w:val="both"/>
        <w:rPr>
          <w:rFonts w:ascii="Rockwell" w:hAnsi="Rockwell"/>
          <w:b/>
          <w:bCs/>
          <w:sz w:val="24"/>
          <w:szCs w:val="24"/>
        </w:rPr>
      </w:pPr>
    </w:p>
    <w:tbl>
      <w:tblPr>
        <w:tblStyle w:val="Grilledutableau"/>
        <w:tblW w:w="10103" w:type="dxa"/>
        <w:tblInd w:w="-72" w:type="dxa"/>
        <w:tblLook w:val="01E0" w:firstRow="1" w:lastRow="1" w:firstColumn="1" w:lastColumn="1" w:noHBand="0" w:noVBand="0"/>
      </w:tblPr>
      <w:tblGrid>
        <w:gridCol w:w="1440"/>
        <w:gridCol w:w="6253"/>
        <w:gridCol w:w="2410"/>
      </w:tblGrid>
      <w:tr w:rsidR="00C02D57" w:rsidRPr="00D23982" w:rsidTr="00F15AEF">
        <w:trPr>
          <w:tblHeader/>
        </w:trPr>
        <w:tc>
          <w:tcPr>
            <w:tcW w:w="1440" w:type="dxa"/>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N</w:t>
            </w:r>
            <w:r w:rsidRPr="00D23982">
              <w:rPr>
                <w:rFonts w:ascii="Rockwell" w:hAnsi="Rockwell"/>
                <w:b/>
                <w:sz w:val="24"/>
                <w:vertAlign w:val="superscript"/>
              </w:rPr>
              <w:t>o</w:t>
            </w:r>
            <w:r w:rsidRPr="00D23982">
              <w:rPr>
                <w:rFonts w:ascii="Rockwell" w:hAnsi="Rockwell"/>
                <w:b/>
                <w:sz w:val="24"/>
              </w:rPr>
              <w:t xml:space="preserve"> d’ordre</w:t>
            </w:r>
          </w:p>
        </w:tc>
        <w:tc>
          <w:tcPr>
            <w:tcW w:w="6253" w:type="dxa"/>
            <w:vAlign w:val="center"/>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Désignation</w:t>
            </w:r>
          </w:p>
        </w:tc>
        <w:tc>
          <w:tcPr>
            <w:tcW w:w="2410" w:type="dxa"/>
            <w:vAlign w:val="center"/>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Norme à référencer</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vocabulaire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Impuretés- Définitions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Sorgho- Spécifications</w:t>
            </w:r>
          </w:p>
        </w:tc>
        <w:tc>
          <w:tcPr>
            <w:tcW w:w="2410" w:type="dxa"/>
          </w:tcPr>
          <w:p w:rsidR="00C02D57" w:rsidRPr="0061020E" w:rsidRDefault="00C02D57" w:rsidP="00AE65B6">
            <w:pPr>
              <w:spacing w:after="120"/>
              <w:jc w:val="both"/>
              <w:rPr>
                <w:rFonts w:ascii="Rockwell" w:hAnsi="Rockwell"/>
                <w:sz w:val="24"/>
                <w:szCs w:val="24"/>
                <w:lang w:val="fr-FR"/>
              </w:rPr>
            </w:pPr>
            <w:r w:rsidRPr="0061020E">
              <w:rPr>
                <w:rFonts w:ascii="Rockwell" w:hAnsi="Rockwell"/>
                <w:sz w:val="24"/>
                <w:szCs w:val="24"/>
              </w:rPr>
              <w:t>NBF 01-078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4</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Mil-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01-079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5</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Riz-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6</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Maïs-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7</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Blé dur-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8</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Blé tendre-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9</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Impuretés – détermination</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10</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Céréales, Légumineuses et Produit de mouture– </w:t>
            </w:r>
            <w:r w:rsidR="00AE65B6" w:rsidRPr="0061020E">
              <w:rPr>
                <w:rFonts w:ascii="Rockwell" w:hAnsi="Rockwell"/>
                <w:sz w:val="24"/>
                <w:szCs w:val="24"/>
              </w:rPr>
              <w:t>Échantillonnage</w:t>
            </w:r>
            <w:r w:rsidRPr="0061020E">
              <w:rPr>
                <w:rFonts w:ascii="Rockwell" w:hAnsi="Rockwell"/>
                <w:sz w:val="24"/>
                <w:szCs w:val="24"/>
              </w:rPr>
              <w:t xml:space="preserve"> des lots statiques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11</w:t>
            </w:r>
          </w:p>
        </w:tc>
        <w:tc>
          <w:tcPr>
            <w:tcW w:w="6253"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Céréales et produits céréaliers – Détermination de la teneur en eau (</w:t>
            </w:r>
            <w:r w:rsidR="007F2B10">
              <w:rPr>
                <w:rFonts w:ascii="Rockwell" w:hAnsi="Rockwell"/>
                <w:sz w:val="24"/>
                <w:szCs w:val="24"/>
              </w:rPr>
              <w:t>m</w:t>
            </w:r>
            <w:r w:rsidRPr="0061020E">
              <w:rPr>
                <w:rFonts w:ascii="Rockwell" w:hAnsi="Rockwell"/>
                <w:sz w:val="24"/>
                <w:szCs w:val="24"/>
              </w:rPr>
              <w:t>éthode de référence fondamentale)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12</w:t>
            </w:r>
          </w:p>
        </w:tc>
        <w:tc>
          <w:tcPr>
            <w:tcW w:w="6253"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Céréales et produits céréaliers – Détermination de la teneur en eau (</w:t>
            </w:r>
            <w:r w:rsidR="007F2B10">
              <w:rPr>
                <w:rFonts w:ascii="Rockwell" w:hAnsi="Rockwell"/>
                <w:sz w:val="24"/>
                <w:szCs w:val="24"/>
              </w:rPr>
              <w:t>m</w:t>
            </w:r>
            <w:r w:rsidRPr="0061020E">
              <w:rPr>
                <w:rFonts w:ascii="Rockwell" w:hAnsi="Rockwell"/>
                <w:sz w:val="24"/>
                <w:szCs w:val="24"/>
              </w:rPr>
              <w:t>éthode de référence pratique)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13</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Maïs – Détermination de la teneur en eau (sur grains broyés et sur grains entiers)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14</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de contrôle pour céréales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01-089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15</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de contrôle- Exigences techniques et vérifications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16</w:t>
            </w:r>
          </w:p>
        </w:tc>
        <w:tc>
          <w:tcPr>
            <w:tcW w:w="6253"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iCs/>
                <w:sz w:val="24"/>
                <w:szCs w:val="24"/>
              </w:rPr>
              <w:t>Céréales : Détermination de la masse volumique, dite « masse à l’hectolitre » Partie 2 : Méthode pratique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lastRenderedPageBreak/>
              <w:t>17</w:t>
            </w:r>
          </w:p>
        </w:tc>
        <w:tc>
          <w:tcPr>
            <w:tcW w:w="6253" w:type="dxa"/>
          </w:tcPr>
          <w:p w:rsidR="00C02D57" w:rsidRPr="0061020E" w:rsidRDefault="00C02D57" w:rsidP="007F2B10">
            <w:pPr>
              <w:spacing w:after="120"/>
              <w:jc w:val="both"/>
              <w:rPr>
                <w:rFonts w:ascii="Rockwell" w:hAnsi="Rockwell"/>
                <w:iCs/>
                <w:sz w:val="24"/>
                <w:szCs w:val="24"/>
                <w:lang w:val="fr-FR"/>
              </w:rPr>
            </w:pPr>
            <w:r w:rsidRPr="0061020E">
              <w:rPr>
                <w:rFonts w:ascii="Rockwell" w:hAnsi="Rockwell"/>
                <w:iCs/>
                <w:sz w:val="24"/>
                <w:szCs w:val="24"/>
              </w:rPr>
              <w:t>Céréales : Détermination de la masse volumique, dite « masse à l’hectolitre » Partie 1 : Méthode de référence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18</w:t>
            </w:r>
          </w:p>
        </w:tc>
        <w:tc>
          <w:tcPr>
            <w:tcW w:w="6253" w:type="dxa"/>
          </w:tcPr>
          <w:p w:rsidR="007F2B10" w:rsidRDefault="00C02D57" w:rsidP="007F2B10">
            <w:pPr>
              <w:autoSpaceDE w:val="0"/>
              <w:autoSpaceDN w:val="0"/>
              <w:adjustRightInd w:val="0"/>
              <w:spacing w:after="120"/>
              <w:jc w:val="both"/>
              <w:rPr>
                <w:rFonts w:ascii="Rockwell" w:hAnsi="Rockwell"/>
                <w:sz w:val="24"/>
                <w:szCs w:val="24"/>
              </w:rPr>
            </w:pPr>
            <w:r w:rsidRPr="0061020E">
              <w:rPr>
                <w:rFonts w:ascii="Rockwell" w:hAnsi="Rockwell"/>
                <w:iCs/>
                <w:sz w:val="24"/>
                <w:szCs w:val="24"/>
              </w:rPr>
              <w:t>Céréales et légumineuses- Détermination de l’infestation cachée par les insectes-</w:t>
            </w:r>
            <w:r w:rsidR="00AE65B6">
              <w:rPr>
                <w:rFonts w:ascii="Rockwell" w:hAnsi="Rockwell"/>
                <w:sz w:val="24"/>
                <w:szCs w:val="24"/>
              </w:rPr>
              <w:t xml:space="preserve"> </w:t>
            </w:r>
          </w:p>
          <w:p w:rsidR="00C02D57" w:rsidRPr="00AE65B6" w:rsidRDefault="00AE65B6" w:rsidP="007F2B10">
            <w:pPr>
              <w:autoSpaceDE w:val="0"/>
              <w:autoSpaceDN w:val="0"/>
              <w:adjustRightInd w:val="0"/>
              <w:spacing w:after="120"/>
              <w:jc w:val="both"/>
              <w:rPr>
                <w:rFonts w:ascii="Rockwell" w:hAnsi="Rockwell"/>
                <w:iCs/>
                <w:sz w:val="24"/>
                <w:szCs w:val="24"/>
              </w:rPr>
            </w:pPr>
            <w:r>
              <w:rPr>
                <w:rFonts w:ascii="Rockwell" w:hAnsi="Rockwell"/>
                <w:sz w:val="24"/>
                <w:szCs w:val="24"/>
              </w:rPr>
              <w:t>Partie  1 : p</w:t>
            </w:r>
            <w:r w:rsidR="00C02D57" w:rsidRPr="0061020E">
              <w:rPr>
                <w:rFonts w:ascii="Rockwell" w:hAnsi="Rockwell"/>
                <w:iCs/>
                <w:sz w:val="24"/>
                <w:szCs w:val="24"/>
              </w:rPr>
              <w:t>rincipes généraux</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19</w:t>
            </w:r>
          </w:p>
        </w:tc>
        <w:tc>
          <w:tcPr>
            <w:tcW w:w="6253" w:type="dxa"/>
          </w:tcPr>
          <w:p w:rsidR="00C02D57" w:rsidRPr="0061020E" w:rsidRDefault="00C02D57" w:rsidP="002A5B9C">
            <w:pPr>
              <w:spacing w:after="120"/>
              <w:jc w:val="both"/>
              <w:rPr>
                <w:rFonts w:ascii="Rockwell" w:hAnsi="Rockwell"/>
                <w:iCs/>
                <w:sz w:val="24"/>
                <w:szCs w:val="24"/>
                <w:lang w:val="fr-FR"/>
              </w:rPr>
            </w:pPr>
            <w:r w:rsidRPr="0061020E">
              <w:rPr>
                <w:rFonts w:ascii="Rockwell" w:hAnsi="Rockwell"/>
                <w:iCs/>
                <w:sz w:val="24"/>
                <w:szCs w:val="24"/>
              </w:rPr>
              <w:t>Céréales et légumineuses- Détermination de l’infestation cachée par les insectes-</w:t>
            </w:r>
            <w:r w:rsidRPr="0061020E">
              <w:rPr>
                <w:rFonts w:ascii="Rockwell" w:hAnsi="Rockwell"/>
                <w:sz w:val="24"/>
                <w:szCs w:val="24"/>
              </w:rPr>
              <w:t xml:space="preserve"> Partie  2: </w:t>
            </w:r>
            <w:r w:rsidR="00AE65B6" w:rsidRPr="0061020E">
              <w:rPr>
                <w:rFonts w:ascii="Rockwell" w:hAnsi="Rockwell"/>
                <w:sz w:val="24"/>
                <w:szCs w:val="24"/>
              </w:rPr>
              <w:t>Échantillonnage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20</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et légumineuses- Détermination de l’infestation cachée par les insectes -Partie  3: Méthode de référence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21</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Stockage des céréales et des légumineuses Partie 1 : Recommandations générales sur la conservation des céréales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22</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Stockage des céréales et des légumineuses Partie 2 : Recommandations pratiques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23</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Stockage des céréales et des légumineuses Partie 3 : Contrôle de l’attaque par les déprédateurs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24</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en grain et légumineuses stockées : lignes directrices pour la détection de l’infestation par des vertébrés vivants par piégeage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01-099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25</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et légumineuses : Détermination de la masse de 1000 grains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01-100-2009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26</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Blé : Identification des variétés par électrophorèse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01-101-2009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27</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Les résidus des pesticides : limites maximales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01-102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28</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Farine et semoule de maïs dégermé –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01-103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29</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Farine et semoule de mil chandelle -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01-104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30</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Farine et sorgho –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01-105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31</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Farine de blé –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01-106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32</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Couscous – spécifications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01-107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33</w:t>
            </w:r>
          </w:p>
        </w:tc>
        <w:tc>
          <w:tcPr>
            <w:tcW w:w="6253"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Code d’usages burkinab</w:t>
            </w:r>
            <w:r w:rsidR="007F2B10">
              <w:rPr>
                <w:rFonts w:ascii="Rockwell" w:hAnsi="Rockwell"/>
                <w:sz w:val="24"/>
                <w:szCs w:val="24"/>
              </w:rPr>
              <w:t>è</w:t>
            </w:r>
            <w:r w:rsidRPr="0061020E">
              <w:rPr>
                <w:rFonts w:ascii="Rockwell" w:hAnsi="Rockwell"/>
                <w:sz w:val="24"/>
                <w:szCs w:val="24"/>
              </w:rPr>
              <w:t xml:space="preserve"> recommandé – principes généraux d’hygiène alimentaire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01-108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34</w:t>
            </w:r>
          </w:p>
        </w:tc>
        <w:tc>
          <w:tcPr>
            <w:tcW w:w="6253" w:type="dxa"/>
          </w:tcPr>
          <w:p w:rsidR="00C02D57" w:rsidRPr="0061020E" w:rsidRDefault="00C02D57" w:rsidP="007F2B10">
            <w:pPr>
              <w:spacing w:after="120"/>
              <w:jc w:val="both"/>
              <w:rPr>
                <w:rFonts w:ascii="Rockwell" w:hAnsi="Rockwell"/>
                <w:sz w:val="24"/>
                <w:szCs w:val="24"/>
                <w:lang w:val="fr-FR"/>
              </w:rPr>
            </w:pPr>
            <w:r w:rsidRPr="0061020E">
              <w:rPr>
                <w:rFonts w:ascii="Rockwell" w:hAnsi="Rockwell"/>
                <w:sz w:val="24"/>
                <w:szCs w:val="24"/>
              </w:rPr>
              <w:t>Code d’usage burkinab</w:t>
            </w:r>
            <w:r w:rsidR="007F2B10">
              <w:rPr>
                <w:rFonts w:ascii="Rockwell" w:hAnsi="Rockwell"/>
                <w:sz w:val="24"/>
                <w:szCs w:val="24"/>
              </w:rPr>
              <w:t>è</w:t>
            </w:r>
            <w:r w:rsidRPr="0061020E">
              <w:rPr>
                <w:rFonts w:ascii="Rockwell" w:hAnsi="Rockwell"/>
                <w:sz w:val="24"/>
                <w:szCs w:val="24"/>
              </w:rPr>
              <w:t xml:space="preserve"> recommandé en matière d’hygiène pour les aliments destinés aux nourrissons et enfants en bas âge.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01-109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35</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Lignes directrices pour la mise au point des préparations alimentaires d’appoint destinées aux nourrissons du deuxième âge et aux enfants en bas âge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01-110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36</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Directives générales pour le dosage de l’azote avec </w:t>
            </w:r>
            <w:r w:rsidRPr="0061020E">
              <w:rPr>
                <w:rFonts w:ascii="Rockwell" w:hAnsi="Rockwell"/>
                <w:sz w:val="24"/>
                <w:szCs w:val="24"/>
              </w:rPr>
              <w:lastRenderedPageBreak/>
              <w:t>minéralisation selon la méthode de Kjeldahl</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lastRenderedPageBreak/>
              <w:t>NBF 01-111 : 2009</w:t>
            </w:r>
          </w:p>
        </w:tc>
      </w:tr>
      <w:tr w:rsidR="00C02D57" w:rsidRPr="006847BA" w:rsidTr="00DD7EAB">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37</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et produits de mouture des céréales – dosage des cendres totales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01-112 : 2009</w:t>
            </w:r>
          </w:p>
        </w:tc>
      </w:tr>
      <w:tr w:rsidR="00C02D57" w:rsidRPr="006847BA" w:rsidTr="00DD7EAB">
        <w:trPr>
          <w:trHeight w:val="775"/>
        </w:trPr>
        <w:tc>
          <w:tcPr>
            <w:tcW w:w="1440"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38</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Céréales et produits de mouture des céréales – détermination de la teneur en matières grasses totales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01-113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39</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Sorgho – dosage des tanins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01-114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40</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Produits de mouture des céréales –détermination de l’acidité grasse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01-115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41</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et tamisage de contrôle – vocabulaire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01-116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42</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Norme générale pour l’étiquetage des denrées alimentaires préemballées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01-117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43</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de contrôle -Tissus métalliques, tôles métalliques perforées et feuilles électroformées- Dimensionnement nominales des ouvertures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01-118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44</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de contrôle – Exigences techniques et vérifications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01-119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45</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Tamis de contrôle – Exigences techniques et vérifications – Partie1 : Tamis de contrôle en tissus métalliques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01-120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46</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Microbiologie – Directives générales pour le dénombrement des levures et moisissures – Technique par comptage des colonies à 25</w:t>
            </w:r>
            <w:r w:rsidRPr="0061020E">
              <w:rPr>
                <w:rFonts w:ascii="Rockwell" w:hAnsi="Rockwell"/>
                <w:sz w:val="24"/>
                <w:szCs w:val="24"/>
                <w:vertAlign w:val="superscript"/>
              </w:rPr>
              <w:t>o</w:t>
            </w:r>
            <w:r w:rsidRPr="0061020E">
              <w:rPr>
                <w:rFonts w:ascii="Rockwell" w:hAnsi="Rockwell"/>
                <w:sz w:val="24"/>
                <w:szCs w:val="24"/>
              </w:rPr>
              <w:t>C</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01-121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47</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Dénombrement des bactéries, levures et moisissures</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01-122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48</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Microbiologie – Directives générales pour le dénombrement des levures et moisissures –</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01-123 : 2009</w:t>
            </w:r>
          </w:p>
        </w:tc>
      </w:tr>
      <w:tr w:rsidR="00C02D57" w:rsidRPr="006847BA" w:rsidTr="00AE65B6">
        <w:tc>
          <w:tcPr>
            <w:tcW w:w="1440" w:type="dxa"/>
            <w:tcBorders>
              <w:bottom w:val="single" w:sz="4" w:space="0" w:color="auto"/>
            </w:tcBorders>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49</w:t>
            </w:r>
          </w:p>
        </w:tc>
        <w:tc>
          <w:tcPr>
            <w:tcW w:w="6253" w:type="dxa"/>
            <w:tcBorders>
              <w:bottom w:val="single" w:sz="4" w:space="0" w:color="auto"/>
            </w:tcBorders>
          </w:tcPr>
          <w:p w:rsidR="00C02D57" w:rsidRPr="0061020E" w:rsidRDefault="00C02D57" w:rsidP="008F6018">
            <w:pPr>
              <w:autoSpaceDE w:val="0"/>
              <w:autoSpaceDN w:val="0"/>
              <w:adjustRightInd w:val="0"/>
              <w:spacing w:after="120"/>
              <w:jc w:val="both"/>
              <w:rPr>
                <w:rFonts w:ascii="Rockwell" w:hAnsi="Rockwell"/>
                <w:sz w:val="24"/>
                <w:szCs w:val="24"/>
                <w:lang w:val="fr-FR"/>
              </w:rPr>
            </w:pPr>
            <w:r w:rsidRPr="0061020E">
              <w:rPr>
                <w:rFonts w:ascii="Rockwell" w:hAnsi="Rockwell"/>
                <w:sz w:val="24"/>
                <w:szCs w:val="24"/>
              </w:rPr>
              <w:t xml:space="preserve">Matières fertilisantes </w:t>
            </w:r>
            <w:r w:rsidRPr="0061020E">
              <w:rPr>
                <w:rFonts w:ascii="Rockwell" w:hAnsi="Rockwell"/>
                <w:sz w:val="24"/>
                <w:szCs w:val="24"/>
              </w:rPr>
              <w:br/>
              <w:t>Classification</w:t>
            </w:r>
          </w:p>
        </w:tc>
        <w:tc>
          <w:tcPr>
            <w:tcW w:w="2410" w:type="dxa"/>
            <w:tcBorders>
              <w:bottom w:val="single" w:sz="4" w:space="0" w:color="auto"/>
            </w:tcBorders>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01-124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50</w:t>
            </w:r>
          </w:p>
        </w:tc>
        <w:tc>
          <w:tcPr>
            <w:tcW w:w="6253"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 xml:space="preserve">Engrais </w:t>
            </w:r>
            <w:r w:rsidRPr="0061020E">
              <w:rPr>
                <w:rFonts w:ascii="Rockwell" w:hAnsi="Rockwell"/>
                <w:sz w:val="24"/>
                <w:szCs w:val="24"/>
              </w:rPr>
              <w:br/>
              <w:t>Marquage – présentation – mentions à déclarer</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01-125 : 2009</w:t>
            </w:r>
          </w:p>
        </w:tc>
      </w:tr>
      <w:tr w:rsidR="00C02D57" w:rsidRPr="006847BA" w:rsidTr="00DD7EAB">
        <w:tc>
          <w:tcPr>
            <w:tcW w:w="1440" w:type="dxa"/>
          </w:tcPr>
          <w:p w:rsidR="00C02D57" w:rsidRPr="0061020E" w:rsidRDefault="00C02D57" w:rsidP="00AE65B6">
            <w:pPr>
              <w:spacing w:after="120"/>
              <w:ind w:left="360"/>
              <w:jc w:val="right"/>
              <w:rPr>
                <w:rFonts w:ascii="Rockwell" w:hAnsi="Rockwell"/>
                <w:sz w:val="24"/>
                <w:szCs w:val="24"/>
                <w:lang w:val="fr-FR"/>
              </w:rPr>
            </w:pPr>
            <w:r w:rsidRPr="0061020E">
              <w:rPr>
                <w:rFonts w:ascii="Rockwell" w:hAnsi="Rockwell"/>
                <w:sz w:val="24"/>
                <w:szCs w:val="24"/>
              </w:rPr>
              <w:t>51</w:t>
            </w:r>
          </w:p>
        </w:tc>
        <w:tc>
          <w:tcPr>
            <w:tcW w:w="6253" w:type="dxa"/>
          </w:tcPr>
          <w:p w:rsidR="00C02D57" w:rsidRPr="0061020E" w:rsidRDefault="00C02D57" w:rsidP="008F6018">
            <w:pPr>
              <w:autoSpaceDE w:val="0"/>
              <w:autoSpaceDN w:val="0"/>
              <w:adjustRightInd w:val="0"/>
              <w:spacing w:after="120"/>
              <w:jc w:val="both"/>
              <w:rPr>
                <w:rFonts w:ascii="Rockwell" w:hAnsi="Rockwell"/>
                <w:sz w:val="24"/>
                <w:szCs w:val="24"/>
                <w:lang w:val="fr-FR"/>
              </w:rPr>
            </w:pPr>
            <w:r w:rsidRPr="0061020E">
              <w:rPr>
                <w:rFonts w:ascii="Rockwell" w:hAnsi="Rockwell"/>
                <w:sz w:val="24"/>
                <w:szCs w:val="24"/>
              </w:rPr>
              <w:t xml:space="preserve">Matières fertilisantes </w:t>
            </w:r>
            <w:r w:rsidRPr="0061020E">
              <w:rPr>
                <w:rFonts w:ascii="Rockwell" w:hAnsi="Rockwell"/>
                <w:sz w:val="24"/>
                <w:szCs w:val="24"/>
              </w:rPr>
              <w:br/>
              <w:t>Vocabulaire</w:t>
            </w:r>
          </w:p>
        </w:tc>
        <w:tc>
          <w:tcPr>
            <w:tcW w:w="2410"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01-126 : 2009</w:t>
            </w:r>
          </w:p>
        </w:tc>
      </w:tr>
      <w:tr w:rsidR="00D2340E" w:rsidRPr="006847BA" w:rsidTr="00AE65B6">
        <w:tc>
          <w:tcPr>
            <w:tcW w:w="1440" w:type="dxa"/>
            <w:tcBorders>
              <w:top w:val="single" w:sz="4" w:space="0" w:color="auto"/>
              <w:bottom w:val="single" w:sz="4" w:space="0" w:color="auto"/>
              <w:right w:val="single" w:sz="4" w:space="0" w:color="auto"/>
            </w:tcBorders>
          </w:tcPr>
          <w:p w:rsidR="00D2340E" w:rsidRPr="0061020E" w:rsidRDefault="00D2340E" w:rsidP="00AE65B6">
            <w:pPr>
              <w:spacing w:after="120"/>
              <w:ind w:left="360"/>
              <w:jc w:val="right"/>
              <w:rPr>
                <w:rFonts w:ascii="Rockwell" w:hAnsi="Rockwell"/>
                <w:sz w:val="24"/>
                <w:szCs w:val="24"/>
                <w:lang w:val="fr-FR"/>
              </w:rPr>
            </w:pPr>
            <w:r w:rsidRPr="0061020E">
              <w:rPr>
                <w:rFonts w:ascii="Rockwell" w:hAnsi="Rockwell"/>
                <w:sz w:val="24"/>
                <w:szCs w:val="24"/>
              </w:rPr>
              <w:t>52</w:t>
            </w:r>
          </w:p>
        </w:tc>
        <w:tc>
          <w:tcPr>
            <w:tcW w:w="6253" w:type="dxa"/>
            <w:tcBorders>
              <w:top w:val="single" w:sz="4" w:space="0" w:color="auto"/>
              <w:left w:val="single" w:sz="4" w:space="0" w:color="auto"/>
              <w:bottom w:val="single" w:sz="4" w:space="0" w:color="auto"/>
              <w:right w:val="single" w:sz="4" w:space="0" w:color="auto"/>
            </w:tcBorders>
          </w:tcPr>
          <w:p w:rsidR="00D2340E" w:rsidRPr="0061020E" w:rsidRDefault="00D2340E" w:rsidP="008F6018">
            <w:pPr>
              <w:spacing w:after="120"/>
              <w:jc w:val="both"/>
              <w:rPr>
                <w:rFonts w:ascii="Rockwell" w:hAnsi="Rockwell"/>
                <w:sz w:val="24"/>
                <w:szCs w:val="24"/>
                <w:lang w:val="fr-FR"/>
              </w:rPr>
            </w:pPr>
            <w:r>
              <w:rPr>
                <w:rFonts w:ascii="Rockwell" w:hAnsi="Rockwell"/>
                <w:sz w:val="24"/>
                <w:szCs w:val="24"/>
                <w:lang w:val="fr-FR"/>
              </w:rPr>
              <w:t>Niébé : spécifications</w:t>
            </w:r>
          </w:p>
        </w:tc>
        <w:tc>
          <w:tcPr>
            <w:tcW w:w="2410" w:type="dxa"/>
            <w:tcBorders>
              <w:top w:val="single" w:sz="4" w:space="0" w:color="auto"/>
              <w:left w:val="single" w:sz="4" w:space="0" w:color="auto"/>
              <w:bottom w:val="single" w:sz="4" w:space="0" w:color="auto"/>
              <w:right w:val="single" w:sz="4" w:space="0" w:color="auto"/>
            </w:tcBorders>
          </w:tcPr>
          <w:p w:rsidR="00D2340E" w:rsidRPr="0061020E" w:rsidRDefault="00D2340E" w:rsidP="008F6018">
            <w:pPr>
              <w:spacing w:after="120"/>
              <w:jc w:val="both"/>
              <w:rPr>
                <w:rFonts w:ascii="Rockwell" w:hAnsi="Rockwell"/>
                <w:sz w:val="24"/>
                <w:szCs w:val="24"/>
                <w:lang w:val="fr-FR"/>
              </w:rPr>
            </w:pPr>
            <w:r w:rsidRPr="0061020E">
              <w:rPr>
                <w:rFonts w:ascii="Rockwell" w:hAnsi="Rockwell"/>
                <w:sz w:val="24"/>
                <w:szCs w:val="24"/>
              </w:rPr>
              <w:t>NBF 01-009 : 2006</w:t>
            </w:r>
          </w:p>
        </w:tc>
      </w:tr>
    </w:tbl>
    <w:p w:rsidR="00AE65B6" w:rsidRDefault="00AE65B6" w:rsidP="00AE65B6">
      <w:pPr>
        <w:spacing w:after="120" w:line="240" w:lineRule="auto"/>
        <w:jc w:val="both"/>
        <w:rPr>
          <w:rFonts w:ascii="Rockwell" w:hAnsi="Rockwell"/>
          <w:b/>
          <w:sz w:val="24"/>
          <w:szCs w:val="24"/>
          <w:lang w:val="fr-CA"/>
        </w:rPr>
      </w:pPr>
    </w:p>
    <w:p w:rsidR="00AE65B6" w:rsidRDefault="00AE65B6" w:rsidP="00AE65B6">
      <w:pPr>
        <w:spacing w:after="120" w:line="240" w:lineRule="auto"/>
        <w:jc w:val="both"/>
        <w:rPr>
          <w:rFonts w:ascii="Rockwell" w:hAnsi="Rockwell"/>
          <w:b/>
          <w:sz w:val="24"/>
          <w:szCs w:val="24"/>
          <w:lang w:val="fr-CA"/>
        </w:rPr>
      </w:pPr>
    </w:p>
    <w:p w:rsidR="00AE65B6" w:rsidRPr="00AE65B6" w:rsidRDefault="00AE65B6" w:rsidP="00AE65B6">
      <w:pPr>
        <w:spacing w:after="120" w:line="240" w:lineRule="auto"/>
        <w:jc w:val="both"/>
        <w:rPr>
          <w:rFonts w:ascii="Rockwell" w:hAnsi="Rockwell"/>
          <w:b/>
          <w:sz w:val="24"/>
          <w:szCs w:val="24"/>
          <w:lang w:val="fr-CA"/>
        </w:rPr>
      </w:pPr>
    </w:p>
    <w:p w:rsidR="00C02D57" w:rsidRPr="0061020E" w:rsidRDefault="00C02D57" w:rsidP="008F6018">
      <w:pPr>
        <w:pStyle w:val="Paragraphedeliste"/>
        <w:numPr>
          <w:ilvl w:val="0"/>
          <w:numId w:val="49"/>
        </w:numPr>
        <w:spacing w:after="120" w:line="240" w:lineRule="auto"/>
        <w:jc w:val="both"/>
        <w:rPr>
          <w:rFonts w:ascii="Rockwell" w:hAnsi="Rockwell"/>
          <w:b/>
          <w:sz w:val="24"/>
          <w:szCs w:val="24"/>
          <w:lang w:val="fr-CA"/>
        </w:rPr>
      </w:pPr>
      <w:r w:rsidRPr="0061020E">
        <w:rPr>
          <w:rFonts w:ascii="Rockwell" w:hAnsi="Rockwell"/>
          <w:b/>
          <w:sz w:val="24"/>
          <w:szCs w:val="24"/>
          <w:lang w:val="fr-CA"/>
        </w:rPr>
        <w:t>Domaine de la chimie</w:t>
      </w:r>
    </w:p>
    <w:tbl>
      <w:tblPr>
        <w:tblStyle w:val="Grilledutableau"/>
        <w:tblW w:w="10103" w:type="dxa"/>
        <w:tblInd w:w="-72" w:type="dxa"/>
        <w:tblLook w:val="01E0" w:firstRow="1" w:lastRow="1" w:firstColumn="1" w:lastColumn="1" w:noHBand="0" w:noVBand="0"/>
      </w:tblPr>
      <w:tblGrid>
        <w:gridCol w:w="1436"/>
        <w:gridCol w:w="6541"/>
        <w:gridCol w:w="2126"/>
      </w:tblGrid>
      <w:tr w:rsidR="00C02D57" w:rsidRPr="00D23982" w:rsidTr="00F15AEF">
        <w:trPr>
          <w:tblHeader/>
        </w:trPr>
        <w:tc>
          <w:tcPr>
            <w:tcW w:w="1436" w:type="dxa"/>
          </w:tcPr>
          <w:p w:rsidR="00C02D57" w:rsidRPr="00D23982" w:rsidRDefault="00C02D57" w:rsidP="00AE65B6">
            <w:pPr>
              <w:spacing w:after="120"/>
              <w:jc w:val="right"/>
              <w:rPr>
                <w:rFonts w:ascii="Rockwell" w:hAnsi="Rockwell"/>
                <w:b/>
                <w:sz w:val="24"/>
                <w:lang w:val="fr-FR"/>
              </w:rPr>
            </w:pPr>
            <w:r w:rsidRPr="00D23982">
              <w:rPr>
                <w:rFonts w:ascii="Rockwell" w:hAnsi="Rockwell"/>
                <w:b/>
                <w:sz w:val="24"/>
              </w:rPr>
              <w:t>N</w:t>
            </w:r>
            <w:r w:rsidRPr="00D23982">
              <w:rPr>
                <w:rFonts w:ascii="Rockwell" w:hAnsi="Rockwell"/>
                <w:b/>
                <w:sz w:val="24"/>
                <w:vertAlign w:val="superscript"/>
              </w:rPr>
              <w:t>o</w:t>
            </w:r>
            <w:r w:rsidRPr="00D23982">
              <w:rPr>
                <w:rFonts w:ascii="Rockwell" w:hAnsi="Rockwell"/>
                <w:b/>
                <w:sz w:val="24"/>
              </w:rPr>
              <w:t xml:space="preserve"> d’ordre</w:t>
            </w:r>
          </w:p>
        </w:tc>
        <w:tc>
          <w:tcPr>
            <w:tcW w:w="6541" w:type="dxa"/>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Désignation</w:t>
            </w:r>
          </w:p>
        </w:tc>
        <w:tc>
          <w:tcPr>
            <w:tcW w:w="2126" w:type="dxa"/>
          </w:tcPr>
          <w:p w:rsidR="00C02D57" w:rsidRPr="00D23982" w:rsidRDefault="00C02D57" w:rsidP="00AE65B6">
            <w:pPr>
              <w:spacing w:after="120"/>
              <w:jc w:val="center"/>
              <w:rPr>
                <w:rFonts w:ascii="Rockwell" w:hAnsi="Rockwell"/>
                <w:b/>
                <w:sz w:val="24"/>
                <w:lang w:val="fr-FR"/>
              </w:rPr>
            </w:pPr>
            <w:r w:rsidRPr="00D23982">
              <w:rPr>
                <w:rFonts w:ascii="Rockwell" w:hAnsi="Rockwell"/>
                <w:b/>
                <w:sz w:val="24"/>
              </w:rPr>
              <w:t>Norme à référencer</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Colles à carrelage – Définitions et spécifications </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03-001: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lastRenderedPageBreak/>
              <w:t>2</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Carburants pour automobiles : Essence sans plomb – Exigences et méthodes d’essai</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03-002: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Produits chimiques utilisés pour le traitement de l’eau destinée à la consommation humaine – Hypochlorite de sodium – Caractéristiques et exigences</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03-003: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4</w:t>
            </w:r>
          </w:p>
        </w:tc>
        <w:tc>
          <w:tcPr>
            <w:tcW w:w="6541"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sz w:val="24"/>
                <w:szCs w:val="24"/>
              </w:rPr>
              <w:t xml:space="preserve">Produits chimiques utilisés pour le traitement de l’eau destinée à la consommation humaine – Hypochlorite de sodium – Détermination de l’arsenic, de l’antimoine et du </w:t>
            </w:r>
            <w:r w:rsidRPr="0061020E">
              <w:rPr>
                <w:rFonts w:ascii="Rockwell" w:hAnsi="Rockwell"/>
                <w:color w:val="000000"/>
                <w:sz w:val="24"/>
                <w:szCs w:val="24"/>
              </w:rPr>
              <w:t>sélénium dans l’eau traitée (Spectrométrie d’absorption atomique technique hydrure)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03-004: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5</w:t>
            </w:r>
          </w:p>
        </w:tc>
        <w:tc>
          <w:tcPr>
            <w:tcW w:w="6541"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Produits chimiques utilisés pour le traitement de l’eau destinée à la consommation humaine – Hypochlorite de sodium – Dosage du mercure dans l’eau traitée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03-005: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6</w:t>
            </w:r>
          </w:p>
        </w:tc>
        <w:tc>
          <w:tcPr>
            <w:tcW w:w="6541" w:type="dxa"/>
          </w:tcPr>
          <w:p w:rsidR="00C02D57" w:rsidRPr="0061020E" w:rsidRDefault="00C02D57" w:rsidP="008F6018">
            <w:pPr>
              <w:spacing w:after="120"/>
              <w:jc w:val="both"/>
              <w:rPr>
                <w:rFonts w:ascii="Rockwell" w:hAnsi="Rockwell"/>
                <w:color w:val="000000"/>
                <w:sz w:val="24"/>
                <w:szCs w:val="24"/>
              </w:rPr>
            </w:pPr>
            <w:r w:rsidRPr="0061020E">
              <w:rPr>
                <w:rFonts w:ascii="Rockwell" w:hAnsi="Rockwell"/>
                <w:color w:val="000000"/>
                <w:sz w:val="24"/>
                <w:szCs w:val="24"/>
              </w:rPr>
              <w:t>Produits chimiques utilisés pour le traitement de l’eau destinée à la consommation humaine – Hypochlorite de sodium – Détermination du cobalt, nickel, cuivre, zinc, cadmium et plomb dans l’eau traitée (Méthodes par spectrométrie d’absorption atomique avec flamme)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03-006: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7</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color w:val="000000"/>
                <w:sz w:val="24"/>
                <w:szCs w:val="24"/>
              </w:rPr>
              <w:t>Produits chimiques utilisés pour le traitement de l’eau destinée à la consommation humaine – Hypochlorite de sodium – Dosage du chrome dans l’eau</w:t>
            </w:r>
            <w:r w:rsidRPr="0061020E">
              <w:rPr>
                <w:rFonts w:ascii="Rockwell" w:hAnsi="Rockwell"/>
                <w:color w:val="00FF00"/>
                <w:sz w:val="24"/>
                <w:szCs w:val="24"/>
              </w:rPr>
              <w:t xml:space="preserve"> </w:t>
            </w:r>
            <w:r w:rsidRPr="0061020E">
              <w:rPr>
                <w:rFonts w:ascii="Rockwell" w:hAnsi="Rockwell"/>
                <w:color w:val="000000"/>
                <w:sz w:val="24"/>
                <w:szCs w:val="24"/>
              </w:rPr>
              <w:t>traitée (</w:t>
            </w:r>
            <w:r w:rsidRPr="0061020E">
              <w:rPr>
                <w:rFonts w:ascii="Rockwell" w:hAnsi="Rockwell"/>
                <w:sz w:val="24"/>
                <w:szCs w:val="24"/>
              </w:rPr>
              <w:t xml:space="preserve">Méthodes par spectrométrie d’absorption atomique) </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03-007: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8</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Eaux et extraits de javel – Spécifications techniques</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03-008: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9</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Méthodes d’essai des peintures et pigments – Durée de séchage des peintures et </w:t>
            </w:r>
            <w:r w:rsidRPr="006546E6">
              <w:rPr>
                <w:rFonts w:ascii="Rockwell" w:hAnsi="Rockwell"/>
                <w:sz w:val="24"/>
                <w:szCs w:val="24"/>
              </w:rPr>
              <w:t>rêtements</w:t>
            </w:r>
            <w:r w:rsidRPr="0061020E">
              <w:rPr>
                <w:rFonts w:ascii="Rockwell" w:hAnsi="Rockwell"/>
                <w:sz w:val="24"/>
                <w:szCs w:val="24"/>
              </w:rPr>
              <w:t xml:space="preserve"> apparentés</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03-009: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10</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Vernis d’intérieur aux résines alkydes d’usage général</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03-010: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11</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Allumettes de sécurité – Exigence de performance, sécurité et classification</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03-011: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12</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Agents de surface – Vocabulaire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03-012: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13</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Agents de surface – Détermination du pH des solutions aqueuses – Méthode potentiométrique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03-013: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14</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Agents de surface – Détermination de l’alcalinité – Méthode titrimétrique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03-014: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15</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Agents de surface – Analyse des savons - Détermination de la teneur en alcali libre caustique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03-015: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16</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Agents de surface – Préparation d’une eau de dureté calcique déterminée </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03-016: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17</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Agents de surface – Détermination de la stabilité à l’eau dure</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03-017: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18</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Savons – Dosage des chlorures – Méthodes potentiométriques</w:t>
            </w:r>
          </w:p>
        </w:tc>
        <w:tc>
          <w:tcPr>
            <w:tcW w:w="2126"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03-018: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19</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Analyses des savons – Détermination de la teneur en </w:t>
            </w:r>
            <w:r w:rsidRPr="0061020E">
              <w:rPr>
                <w:rFonts w:ascii="Rockwell" w:hAnsi="Rockwell"/>
                <w:sz w:val="24"/>
                <w:szCs w:val="24"/>
              </w:rPr>
              <w:lastRenderedPageBreak/>
              <w:t>alcali libre total</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lastRenderedPageBreak/>
              <w:t>NBF 03-019: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20</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Savons – Dosage des chlorures – Méthodes titrimétrique</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03-020: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21</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Produits pétroliers - Hydrocarbures liquides - Détermination de l’indice de réfraction</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03-021: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22</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Savon de toilette</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03-022: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23</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Tuyaux en caoutchouc pour livraison en vrac d’hydrocarbures liquides par camions-citernes – Spécification</w:t>
            </w:r>
            <w:r w:rsidRPr="0061020E">
              <w:rPr>
                <w:rFonts w:ascii="Rockwell" w:hAnsi="Rockwell"/>
                <w:color w:val="000000"/>
                <w:sz w:val="24"/>
                <w:szCs w:val="24"/>
              </w:rPr>
              <w:t>s</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03-023: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24</w:t>
            </w:r>
          </w:p>
        </w:tc>
        <w:tc>
          <w:tcPr>
            <w:tcW w:w="6541" w:type="dxa"/>
          </w:tcPr>
          <w:p w:rsidR="00C02D57" w:rsidRPr="0061020E" w:rsidRDefault="00C02D57" w:rsidP="007F2B10">
            <w:pPr>
              <w:spacing w:after="120"/>
              <w:jc w:val="both"/>
              <w:rPr>
                <w:rFonts w:ascii="Rockwell" w:hAnsi="Rockwell"/>
                <w:sz w:val="24"/>
                <w:szCs w:val="24"/>
              </w:rPr>
            </w:pPr>
            <w:r w:rsidRPr="0061020E">
              <w:rPr>
                <w:rFonts w:ascii="Rockwell" w:hAnsi="Rockwell"/>
                <w:sz w:val="24"/>
                <w:szCs w:val="24"/>
              </w:rPr>
              <w:t xml:space="preserve">Extincteurs d’incendie – Extincteurs d’incendie </w:t>
            </w:r>
            <w:r w:rsidR="007F2B10">
              <w:rPr>
                <w:rFonts w:ascii="Rockwell" w:hAnsi="Rockwell"/>
                <w:sz w:val="24"/>
                <w:szCs w:val="24"/>
              </w:rPr>
              <w:t>p</w:t>
            </w:r>
            <w:r w:rsidRPr="0061020E">
              <w:rPr>
                <w:rFonts w:ascii="Rockwell" w:hAnsi="Rockwell"/>
                <w:sz w:val="24"/>
                <w:szCs w:val="24"/>
              </w:rPr>
              <w:t>ortatifs – Caractéristiques et essais</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03-024: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25</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Détergent pour lavage de la vaisselle à la main</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03-025: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26</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Engrais – Dosage de l’azote total – Méthode titrimétrique après distillation </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03-026: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27</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Engrais – Détermination de la masse volumique sans tassement</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03-027: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28</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Savons et détergent – Technique de l’échantillonnage en cours de fabrication</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03-028: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29</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Lotion nettoyante pour la peau</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03-029: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30</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Pneumatiques et jantes pour motocycles (séries millimétriques) – Partie 1 : Guide de conception</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03-030: 2009</w:t>
            </w:r>
          </w:p>
        </w:tc>
      </w:tr>
      <w:tr w:rsidR="00C02D57" w:rsidRPr="006847BA" w:rsidTr="00DD7EAB">
        <w:tc>
          <w:tcPr>
            <w:tcW w:w="1436" w:type="dxa"/>
          </w:tcPr>
          <w:p w:rsidR="00C02D57" w:rsidRPr="0061020E" w:rsidRDefault="00C02D57" w:rsidP="00AE65B6">
            <w:pPr>
              <w:spacing w:after="120"/>
              <w:jc w:val="right"/>
              <w:rPr>
                <w:rFonts w:ascii="Rockwell" w:hAnsi="Rockwell"/>
                <w:sz w:val="24"/>
                <w:szCs w:val="24"/>
                <w:lang w:val="fr-FR"/>
              </w:rPr>
            </w:pPr>
            <w:r w:rsidRPr="0061020E">
              <w:rPr>
                <w:rFonts w:ascii="Rockwell" w:hAnsi="Rockwell"/>
                <w:sz w:val="24"/>
                <w:szCs w:val="24"/>
              </w:rPr>
              <w:t>31</w:t>
            </w:r>
          </w:p>
        </w:tc>
        <w:tc>
          <w:tcPr>
            <w:tcW w:w="6541"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Fabrication des gaz médicinaux</w:t>
            </w:r>
          </w:p>
        </w:tc>
        <w:tc>
          <w:tcPr>
            <w:tcW w:w="2126"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03-031: 2009</w:t>
            </w:r>
          </w:p>
        </w:tc>
      </w:tr>
    </w:tbl>
    <w:p w:rsidR="00C02D57" w:rsidRPr="0061020E" w:rsidRDefault="00C02D57" w:rsidP="008F6018">
      <w:pPr>
        <w:pStyle w:val="Paragraphedeliste"/>
        <w:spacing w:after="120" w:line="240" w:lineRule="auto"/>
        <w:jc w:val="both"/>
        <w:rPr>
          <w:rFonts w:ascii="Rockwell" w:hAnsi="Rockwell"/>
          <w:sz w:val="24"/>
          <w:szCs w:val="24"/>
          <w:lang w:val="fr-CA"/>
        </w:rPr>
      </w:pPr>
    </w:p>
    <w:p w:rsidR="00C02D57" w:rsidRPr="0061020E" w:rsidRDefault="00C02D57" w:rsidP="008F6018">
      <w:pPr>
        <w:pStyle w:val="Paragraphedeliste"/>
        <w:numPr>
          <w:ilvl w:val="0"/>
          <w:numId w:val="49"/>
        </w:numPr>
        <w:spacing w:after="120" w:line="240" w:lineRule="auto"/>
        <w:jc w:val="both"/>
        <w:rPr>
          <w:rFonts w:ascii="Rockwell" w:hAnsi="Rockwell"/>
          <w:b/>
          <w:sz w:val="24"/>
          <w:szCs w:val="24"/>
          <w:lang w:val="fr-CA"/>
        </w:rPr>
      </w:pPr>
      <w:r w:rsidRPr="0061020E">
        <w:rPr>
          <w:rFonts w:ascii="Rockwell" w:hAnsi="Rockwell"/>
          <w:b/>
          <w:sz w:val="24"/>
          <w:szCs w:val="24"/>
          <w:lang w:val="fr-CA"/>
        </w:rPr>
        <w:t>Domaine du bâtiment génie-civil</w:t>
      </w:r>
    </w:p>
    <w:tbl>
      <w:tblPr>
        <w:tblStyle w:val="Grilledutableau"/>
        <w:tblW w:w="10031" w:type="dxa"/>
        <w:tblLook w:val="01E0" w:firstRow="1" w:lastRow="1" w:firstColumn="1" w:lastColumn="1" w:noHBand="0" w:noVBand="0"/>
      </w:tblPr>
      <w:tblGrid>
        <w:gridCol w:w="1436"/>
        <w:gridCol w:w="6277"/>
        <w:gridCol w:w="2318"/>
      </w:tblGrid>
      <w:tr w:rsidR="00C02D57" w:rsidRPr="006847BA" w:rsidTr="00F15AEF">
        <w:trPr>
          <w:tblHeader/>
        </w:trPr>
        <w:tc>
          <w:tcPr>
            <w:tcW w:w="1436" w:type="dxa"/>
          </w:tcPr>
          <w:p w:rsidR="00C02D57" w:rsidRPr="0061020E" w:rsidRDefault="00C02D57" w:rsidP="0088755D">
            <w:pPr>
              <w:spacing w:after="120"/>
              <w:jc w:val="center"/>
              <w:rPr>
                <w:rFonts w:ascii="Rockwell" w:hAnsi="Rockwell"/>
                <w:b/>
                <w:bCs/>
                <w:sz w:val="24"/>
                <w:szCs w:val="24"/>
                <w:lang w:val="fr-FR"/>
              </w:rPr>
            </w:pPr>
            <w:r w:rsidRPr="0061020E">
              <w:rPr>
                <w:rFonts w:ascii="Rockwell" w:hAnsi="Rockwell"/>
                <w:b/>
                <w:bCs/>
                <w:sz w:val="24"/>
                <w:szCs w:val="24"/>
              </w:rPr>
              <w:t>N</w:t>
            </w:r>
            <w:r w:rsidRPr="0061020E">
              <w:rPr>
                <w:rFonts w:ascii="Rockwell" w:hAnsi="Rockwell"/>
                <w:b/>
                <w:bCs/>
                <w:sz w:val="24"/>
                <w:szCs w:val="24"/>
                <w:vertAlign w:val="superscript"/>
              </w:rPr>
              <w:t>o</w:t>
            </w:r>
            <w:r w:rsidRPr="0061020E">
              <w:rPr>
                <w:rFonts w:ascii="Rockwell" w:hAnsi="Rockwell"/>
                <w:b/>
                <w:bCs/>
                <w:sz w:val="24"/>
                <w:szCs w:val="24"/>
              </w:rPr>
              <w:t xml:space="preserve"> d’ordre</w:t>
            </w:r>
          </w:p>
        </w:tc>
        <w:tc>
          <w:tcPr>
            <w:tcW w:w="6277" w:type="dxa"/>
          </w:tcPr>
          <w:p w:rsidR="00C02D57" w:rsidRPr="0061020E" w:rsidRDefault="00C02D57" w:rsidP="0088755D">
            <w:pPr>
              <w:spacing w:after="120"/>
              <w:jc w:val="center"/>
              <w:rPr>
                <w:rFonts w:ascii="Rockwell" w:hAnsi="Rockwell"/>
                <w:b/>
                <w:bCs/>
                <w:sz w:val="24"/>
                <w:szCs w:val="24"/>
                <w:lang w:val="fr-FR"/>
              </w:rPr>
            </w:pPr>
            <w:r w:rsidRPr="0061020E">
              <w:rPr>
                <w:rFonts w:ascii="Rockwell" w:hAnsi="Rockwell"/>
                <w:b/>
                <w:bCs/>
                <w:sz w:val="24"/>
                <w:szCs w:val="24"/>
              </w:rPr>
              <w:t>Désignation</w:t>
            </w:r>
          </w:p>
        </w:tc>
        <w:tc>
          <w:tcPr>
            <w:tcW w:w="2318" w:type="dxa"/>
          </w:tcPr>
          <w:p w:rsidR="00C02D57" w:rsidRPr="0061020E" w:rsidRDefault="00C02D57" w:rsidP="0088755D">
            <w:pPr>
              <w:spacing w:after="120"/>
              <w:jc w:val="center"/>
              <w:rPr>
                <w:rFonts w:ascii="Rockwell" w:hAnsi="Rockwell"/>
                <w:b/>
                <w:bCs/>
                <w:sz w:val="24"/>
                <w:szCs w:val="24"/>
                <w:lang w:val="fr-FR"/>
              </w:rPr>
            </w:pPr>
            <w:r w:rsidRPr="0061020E">
              <w:rPr>
                <w:rFonts w:ascii="Rockwell" w:hAnsi="Rockwell"/>
                <w:b/>
                <w:sz w:val="24"/>
                <w:szCs w:val="24"/>
              </w:rPr>
              <w:t>Norme à référencer</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Norme de terminologie</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02-001 :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Norme de définition, classification et désignation des blocs de terre comprimée</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02-002: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Spécifications techniques pour les blocs de terre comprimée ordinaires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02-003: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4</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Spécifications techniques pour les blocs de terre comprimée de parement</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02-004: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5</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Code de bonne pratique pour la production de blocs de terre comprimée</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02-005: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6</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Code de bonne pratique pour la préparation des mortiers de terre</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02-006: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7</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Code de bonne pratique pour la mise en œuvre de maçonneries en blocs de terre comprimée</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02-007: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lastRenderedPageBreak/>
              <w:t>8</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Blocs de terre comprimée – Norme de classification des essais d’identification des matériaux et essais mécaniques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02-008: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9</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Armature pour béton armé – Barres et couronnes soudables à verrous de nuance FeE500</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02-009: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10</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Armatures pour béton armé – Ronds lisses soudables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02-010: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11</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Armatures pour béton armé – Barres et fils non soudables à verrous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02-011: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12</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Ciment – Partie 2 : évaluation de la conformité</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02-012: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13</w:t>
            </w:r>
          </w:p>
        </w:tc>
        <w:tc>
          <w:tcPr>
            <w:tcW w:w="6277" w:type="dxa"/>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Ciment – Partie 1 : composition, spécifications et critères de conformité des ciments courants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02-013: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14</w:t>
            </w:r>
          </w:p>
        </w:tc>
        <w:tc>
          <w:tcPr>
            <w:tcW w:w="6277"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Méthodes d’essais des ciments – Partie 1 : détermination des résistances mécaniques</w:t>
            </w:r>
          </w:p>
        </w:tc>
        <w:tc>
          <w:tcPr>
            <w:tcW w:w="2318" w:type="dxa"/>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02-014: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15</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vibré : Norme de terminologie</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02-015: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16</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vibré - Norme de définition, classification et désignation des tuiles en mortier vibré</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02-016: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17</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vibré - Spécifications techniques pour les tuiles en mortier vibré</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02-017: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18</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vibré - Norme de définition des essais d’identification des matériaux</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02-018: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19</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vibré - Norme de définition des essais physiques, hydriques et mécaniques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02-019: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20</w:t>
            </w:r>
          </w:p>
        </w:tc>
        <w:tc>
          <w:tcPr>
            <w:tcW w:w="6277"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Tuiles en mortier de ciment vibré - Code de bonne pratique pour la production des tuiles en mortier vibré</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02-020: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21</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Granulats – Définition –Conformité - Spécification</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02-021: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22</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Essais pour déterminer les propriétés générales des granulats – Partie 1 : méthodes d’échantillonnage</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02-022: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23</w:t>
            </w:r>
          </w:p>
        </w:tc>
        <w:tc>
          <w:tcPr>
            <w:tcW w:w="6277" w:type="dxa"/>
            <w:vAlign w:val="center"/>
          </w:tcPr>
          <w:p w:rsidR="00C02D57" w:rsidRPr="0061020E" w:rsidRDefault="00C02D57" w:rsidP="007F2B10">
            <w:pPr>
              <w:spacing w:after="120"/>
              <w:jc w:val="both"/>
              <w:rPr>
                <w:rFonts w:ascii="Rockwell" w:hAnsi="Rockwell"/>
                <w:sz w:val="24"/>
                <w:szCs w:val="24"/>
              </w:rPr>
            </w:pPr>
            <w:r w:rsidRPr="0061020E">
              <w:rPr>
                <w:rFonts w:ascii="Rockwell" w:hAnsi="Rockwell"/>
                <w:sz w:val="24"/>
                <w:szCs w:val="24"/>
              </w:rPr>
              <w:t xml:space="preserve">Essai pour déterminer les caractéristiques géométriques des granulats. Partie 1 : </w:t>
            </w:r>
            <w:r w:rsidR="007F2B10">
              <w:rPr>
                <w:rFonts w:ascii="Rockwell" w:hAnsi="Rockwell"/>
                <w:sz w:val="24"/>
                <w:szCs w:val="24"/>
              </w:rPr>
              <w:t>D</w:t>
            </w:r>
            <w:r w:rsidRPr="0061020E">
              <w:rPr>
                <w:rFonts w:ascii="Rockwell" w:hAnsi="Rockwell"/>
                <w:sz w:val="24"/>
                <w:szCs w:val="24"/>
              </w:rPr>
              <w:t>étermination de la granularité - Analyse granulométrique par tamisage</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02-023: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24</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Agglomères – Blocs en béton pour murs et cloisons – Définitions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02-024: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25</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Agglomères – Blocs en béton pour murs et cloisons - Dimensions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02-025: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26</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Agglomères – Blocs en béton de granulats courants pour murs et cloisons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02-026: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27</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Couvertures – Plaques nervurées en acier galvanisées, pré </w:t>
            </w:r>
            <w:r w:rsidR="00BA0E95">
              <w:rPr>
                <w:rFonts w:ascii="Rockwell" w:hAnsi="Rockwell"/>
                <w:sz w:val="24"/>
                <w:szCs w:val="24"/>
              </w:rPr>
              <w:t xml:space="preserve">- </w:t>
            </w:r>
            <w:r w:rsidRPr="0061020E">
              <w:rPr>
                <w:rFonts w:ascii="Rockwell" w:hAnsi="Rockwell"/>
                <w:sz w:val="24"/>
                <w:szCs w:val="24"/>
              </w:rPr>
              <w:t>laquées ou non – Caractéristiques dimensionnelles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02-027: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28</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 xml:space="preserve">Couvertures – Plaques ondulées ou nervurées en </w:t>
            </w:r>
            <w:r w:rsidRPr="0061020E">
              <w:rPr>
                <w:rFonts w:ascii="Rockwell" w:hAnsi="Rockwell"/>
                <w:sz w:val="24"/>
                <w:szCs w:val="24"/>
              </w:rPr>
              <w:lastRenderedPageBreak/>
              <w:t>alliage d’aluminium</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lastRenderedPageBreak/>
              <w:t>NBF 02-028: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29</w:t>
            </w:r>
          </w:p>
        </w:tc>
        <w:tc>
          <w:tcPr>
            <w:tcW w:w="6277" w:type="dxa"/>
            <w:vAlign w:val="center"/>
          </w:tcPr>
          <w:p w:rsidR="00C02D57" w:rsidRPr="0061020E" w:rsidRDefault="00C02D57" w:rsidP="00BA0E95">
            <w:pPr>
              <w:spacing w:after="120"/>
              <w:jc w:val="both"/>
              <w:rPr>
                <w:rFonts w:ascii="Rockwell" w:hAnsi="Rockwell"/>
                <w:sz w:val="24"/>
                <w:szCs w:val="24"/>
              </w:rPr>
            </w:pPr>
            <w:r w:rsidRPr="0061020E">
              <w:rPr>
                <w:rFonts w:ascii="Rockwell" w:hAnsi="Rockwell"/>
                <w:sz w:val="24"/>
                <w:szCs w:val="24"/>
              </w:rPr>
              <w:t>Signes conventionnels, dessins d’architecture – Dessins d’architecture, de bâtiment et de génie civil – Principes généraux – Principe</w:t>
            </w:r>
            <w:r w:rsidR="00BA0E95">
              <w:rPr>
                <w:rFonts w:ascii="Rockwell" w:hAnsi="Rockwell"/>
                <w:sz w:val="24"/>
                <w:szCs w:val="24"/>
              </w:rPr>
              <w:t xml:space="preserve"> de</w:t>
            </w:r>
            <w:r w:rsidRPr="0061020E">
              <w:rPr>
                <w:rFonts w:ascii="Rockwell" w:hAnsi="Rockwell"/>
                <w:sz w:val="24"/>
                <w:szCs w:val="24"/>
              </w:rPr>
              <w:t xml:space="preserve"> représentation</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02-029: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30</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Dessins de construction – Représentation simplifiée des armatures en béton</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02-030: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31</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Dessins d’architecture, de bâtiment et de génie civil – Cotation</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02-031: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32</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Bitumes et liants bitumeux – Spécifications des bitumes routiers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02-032: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33</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Liants hydrocarbonés – Définition et classification</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02-033: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34</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Liants hydrocarbonés – Bitumes fluidifiés - Spécifications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02-034: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35</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Signalisation routière verticale - Généralités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02-035: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36</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Signalisation routière verticale permanente – Panneaux de signalisation et supports – Caractéristiques techniques et spécifications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02-036: 2009</w:t>
            </w:r>
          </w:p>
        </w:tc>
      </w:tr>
      <w:tr w:rsidR="00C02D57" w:rsidRPr="006847BA" w:rsidTr="00DD7EAB">
        <w:tc>
          <w:tcPr>
            <w:tcW w:w="1436" w:type="dxa"/>
          </w:tcPr>
          <w:p w:rsidR="00C02D57" w:rsidRPr="0061020E" w:rsidRDefault="00C02D57" w:rsidP="0088755D">
            <w:pPr>
              <w:spacing w:after="120"/>
              <w:jc w:val="right"/>
              <w:rPr>
                <w:rFonts w:ascii="Rockwell" w:hAnsi="Rockwell"/>
                <w:sz w:val="24"/>
                <w:szCs w:val="24"/>
                <w:lang w:val="fr-FR"/>
              </w:rPr>
            </w:pPr>
            <w:r w:rsidRPr="0061020E">
              <w:rPr>
                <w:rFonts w:ascii="Rockwell" w:hAnsi="Rockwell"/>
                <w:sz w:val="24"/>
                <w:szCs w:val="24"/>
              </w:rPr>
              <w:t>37</w:t>
            </w:r>
          </w:p>
        </w:tc>
        <w:tc>
          <w:tcPr>
            <w:tcW w:w="6277" w:type="dxa"/>
            <w:vAlign w:val="center"/>
          </w:tcPr>
          <w:p w:rsidR="00C02D57" w:rsidRPr="0061020E" w:rsidRDefault="00C02D57" w:rsidP="008F6018">
            <w:pPr>
              <w:spacing w:after="120"/>
              <w:jc w:val="both"/>
              <w:rPr>
                <w:rFonts w:ascii="Rockwell" w:hAnsi="Rockwell"/>
                <w:sz w:val="24"/>
                <w:szCs w:val="24"/>
              </w:rPr>
            </w:pPr>
            <w:r w:rsidRPr="0061020E">
              <w:rPr>
                <w:rFonts w:ascii="Rockwell" w:hAnsi="Rockwell"/>
                <w:sz w:val="24"/>
                <w:szCs w:val="24"/>
              </w:rPr>
              <w:t>Signalisation routière verticale horizontale – Marques appliquées sur chaussées - Dénominations</w:t>
            </w:r>
          </w:p>
        </w:tc>
        <w:tc>
          <w:tcPr>
            <w:tcW w:w="2318" w:type="dxa"/>
            <w:vAlign w:val="center"/>
          </w:tcPr>
          <w:p w:rsidR="00C02D57" w:rsidRPr="0061020E" w:rsidRDefault="00C02D57" w:rsidP="008F6018">
            <w:pPr>
              <w:spacing w:after="120"/>
              <w:jc w:val="both"/>
              <w:rPr>
                <w:rFonts w:ascii="Rockwell" w:hAnsi="Rockwell"/>
                <w:sz w:val="24"/>
                <w:szCs w:val="24"/>
                <w:lang w:val="fr-FR"/>
              </w:rPr>
            </w:pPr>
            <w:r w:rsidRPr="0061020E">
              <w:rPr>
                <w:rFonts w:ascii="Rockwell" w:hAnsi="Rockwell"/>
                <w:sz w:val="24"/>
                <w:szCs w:val="24"/>
              </w:rPr>
              <w:t>NBF 02-037: 2009</w:t>
            </w:r>
          </w:p>
        </w:tc>
      </w:tr>
    </w:tbl>
    <w:p w:rsidR="00104BBA" w:rsidRPr="0061020E" w:rsidRDefault="00104BBA" w:rsidP="008F6018">
      <w:pPr>
        <w:pStyle w:val="Paragraphedeliste"/>
        <w:spacing w:after="120" w:line="240" w:lineRule="auto"/>
        <w:jc w:val="both"/>
        <w:rPr>
          <w:rFonts w:ascii="Rockwell" w:hAnsi="Rockwell"/>
          <w:b/>
          <w:sz w:val="24"/>
          <w:szCs w:val="24"/>
          <w:lang w:val="fr-CA"/>
        </w:rPr>
      </w:pPr>
    </w:p>
    <w:p w:rsidR="00FC4D4F" w:rsidRPr="0088755D" w:rsidRDefault="00C02D57" w:rsidP="00475166">
      <w:pPr>
        <w:pStyle w:val="Paragraphedeliste"/>
        <w:numPr>
          <w:ilvl w:val="0"/>
          <w:numId w:val="49"/>
        </w:numPr>
        <w:spacing w:after="120" w:line="240" w:lineRule="auto"/>
        <w:jc w:val="both"/>
        <w:rPr>
          <w:rFonts w:ascii="Rockwell" w:hAnsi="Rockwell"/>
          <w:b/>
          <w:sz w:val="24"/>
          <w:szCs w:val="24"/>
          <w:lang w:val="fr-CA"/>
        </w:rPr>
      </w:pPr>
      <w:r w:rsidRPr="0088755D">
        <w:rPr>
          <w:rFonts w:ascii="Rockwell" w:hAnsi="Rockwell"/>
          <w:b/>
          <w:sz w:val="24"/>
          <w:szCs w:val="24"/>
          <w:lang w:val="fr-CA"/>
        </w:rPr>
        <w:t>Domaine du textile</w:t>
      </w:r>
    </w:p>
    <w:tbl>
      <w:tblPr>
        <w:tblpPr w:leftFromText="180" w:rightFromText="180" w:vertAnchor="text" w:horzAnchor="margin" w:tblpXSpec="center" w:tblpY="84"/>
        <w:tblW w:w="53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6741"/>
        <w:gridCol w:w="2331"/>
      </w:tblGrid>
      <w:tr w:rsidR="0088755D" w:rsidRPr="006847BA" w:rsidTr="00475166">
        <w:trPr>
          <w:trHeight w:val="397"/>
          <w:tblHeader/>
        </w:trPr>
        <w:tc>
          <w:tcPr>
            <w:tcW w:w="602"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bCs/>
                <w:sz w:val="24"/>
                <w:szCs w:val="24"/>
              </w:rPr>
              <w:t>N</w:t>
            </w:r>
            <w:r w:rsidRPr="0061020E">
              <w:rPr>
                <w:rFonts w:ascii="Rockwell" w:hAnsi="Rockwell"/>
                <w:b/>
                <w:bCs/>
                <w:sz w:val="24"/>
                <w:szCs w:val="24"/>
                <w:vertAlign w:val="superscript"/>
              </w:rPr>
              <w:t>o</w:t>
            </w:r>
            <w:r w:rsidRPr="0061020E">
              <w:rPr>
                <w:rFonts w:ascii="Rockwell" w:hAnsi="Rockwell"/>
                <w:b/>
                <w:bCs/>
                <w:sz w:val="24"/>
                <w:szCs w:val="24"/>
              </w:rPr>
              <w:t xml:space="preserve"> d’ordre</w:t>
            </w:r>
          </w:p>
        </w:tc>
        <w:tc>
          <w:tcPr>
            <w:tcW w:w="3268"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bCs/>
                <w:sz w:val="24"/>
                <w:szCs w:val="24"/>
              </w:rPr>
              <w:t>Désignation</w:t>
            </w:r>
          </w:p>
        </w:tc>
        <w:tc>
          <w:tcPr>
            <w:tcW w:w="1130"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sz w:val="24"/>
                <w:szCs w:val="24"/>
              </w:rPr>
              <w:t>Norme à référencer</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Textile- Atmosphère normale de conditionnement           </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04-001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7F2B10">
            <w:pPr>
              <w:spacing w:after="120" w:line="240" w:lineRule="auto"/>
              <w:jc w:val="both"/>
              <w:rPr>
                <w:rFonts w:ascii="Rockwell" w:hAnsi="Rockwell"/>
                <w:sz w:val="24"/>
                <w:szCs w:val="24"/>
              </w:rPr>
            </w:pPr>
            <w:r w:rsidRPr="0061020E">
              <w:rPr>
                <w:rFonts w:ascii="Rockwell" w:hAnsi="Rockwell"/>
                <w:sz w:val="24"/>
                <w:szCs w:val="24"/>
              </w:rPr>
              <w:t xml:space="preserve">Textile – Fibres de coton – Equipement et </w:t>
            </w:r>
            <w:r w:rsidR="007F2B10">
              <w:rPr>
                <w:rFonts w:ascii="Rockwell" w:hAnsi="Rockwell"/>
                <w:sz w:val="24"/>
                <w:szCs w:val="24"/>
              </w:rPr>
              <w:t>é</w:t>
            </w:r>
            <w:r w:rsidRPr="0061020E">
              <w:rPr>
                <w:rFonts w:ascii="Rockwell" w:hAnsi="Rockwell"/>
                <w:sz w:val="24"/>
                <w:szCs w:val="24"/>
              </w:rPr>
              <w:t>clairage artificiel des salles de classement du coton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04-002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Fibres textiles – Diverses méthodes d’échantillonnage</w:t>
            </w:r>
            <w:r w:rsidR="007F2B10">
              <w:rPr>
                <w:rFonts w:ascii="Rockwell" w:hAnsi="Rockwell"/>
                <w:sz w:val="24"/>
                <w:szCs w:val="24"/>
              </w:rPr>
              <w:t>,</w:t>
            </w:r>
            <w:r w:rsidRPr="0061020E">
              <w:rPr>
                <w:rFonts w:ascii="Rockwell" w:hAnsi="Rockwell"/>
                <w:sz w:val="24"/>
                <w:szCs w:val="24"/>
              </w:rPr>
              <w:t xml:space="preserve"> en vue des essais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04-003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Détermination de masse-Vocabulaire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04-004 :2011</w:t>
            </w:r>
          </w:p>
        </w:tc>
      </w:tr>
      <w:tr w:rsidR="00C02D57" w:rsidRPr="006847BA" w:rsidTr="00475166">
        <w:trPr>
          <w:trHeight w:val="45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Fibres de coton – Evaluation de la maturité – méthode par microscopie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04-005 :2011</w:t>
            </w:r>
          </w:p>
        </w:tc>
      </w:tr>
      <w:tr w:rsidR="00C02D57" w:rsidRPr="006847BA" w:rsidTr="00475166">
        <w:trPr>
          <w:trHeight w:val="212"/>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Fibres de coton – Evaluation de la maturité par la méthode à courant d’air</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04-006 :2011</w:t>
            </w:r>
          </w:p>
        </w:tc>
      </w:tr>
      <w:tr w:rsidR="0088755D" w:rsidRPr="006847BA" w:rsidTr="00475166">
        <w:trPr>
          <w:trHeight w:val="397"/>
          <w:tblHeader/>
        </w:trPr>
        <w:tc>
          <w:tcPr>
            <w:tcW w:w="602"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bCs/>
                <w:sz w:val="24"/>
                <w:szCs w:val="24"/>
              </w:rPr>
              <w:t>N</w:t>
            </w:r>
            <w:r w:rsidRPr="0061020E">
              <w:rPr>
                <w:rFonts w:ascii="Rockwell" w:hAnsi="Rockwell"/>
                <w:b/>
                <w:bCs/>
                <w:sz w:val="24"/>
                <w:szCs w:val="24"/>
                <w:vertAlign w:val="superscript"/>
              </w:rPr>
              <w:t>o</w:t>
            </w:r>
            <w:r w:rsidRPr="0061020E">
              <w:rPr>
                <w:rFonts w:ascii="Rockwell" w:hAnsi="Rockwell"/>
                <w:b/>
                <w:bCs/>
                <w:sz w:val="24"/>
                <w:szCs w:val="24"/>
              </w:rPr>
              <w:t xml:space="preserve"> d’ordre</w:t>
            </w:r>
          </w:p>
        </w:tc>
        <w:tc>
          <w:tcPr>
            <w:tcW w:w="3268"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bCs/>
                <w:sz w:val="24"/>
                <w:szCs w:val="24"/>
              </w:rPr>
              <w:t>Désignation</w:t>
            </w:r>
          </w:p>
        </w:tc>
        <w:tc>
          <w:tcPr>
            <w:tcW w:w="1130" w:type="pct"/>
          </w:tcPr>
          <w:p w:rsidR="0088755D" w:rsidRPr="0061020E" w:rsidRDefault="0088755D" w:rsidP="0088755D">
            <w:pPr>
              <w:spacing w:after="120" w:line="240" w:lineRule="auto"/>
              <w:jc w:val="center"/>
              <w:rPr>
                <w:rFonts w:ascii="Rockwell" w:hAnsi="Rockwell"/>
                <w:b/>
                <w:bCs/>
                <w:sz w:val="24"/>
                <w:szCs w:val="24"/>
              </w:rPr>
            </w:pPr>
            <w:r w:rsidRPr="0061020E">
              <w:rPr>
                <w:rFonts w:ascii="Rockwell" w:hAnsi="Rockwell"/>
                <w:b/>
                <w:sz w:val="24"/>
                <w:szCs w:val="24"/>
              </w:rPr>
              <w:t>Norme à référencer</w:t>
            </w:r>
          </w:p>
        </w:tc>
      </w:tr>
      <w:tr w:rsidR="00C02D57" w:rsidRPr="006847BA" w:rsidTr="00475166">
        <w:trPr>
          <w:trHeight w:val="70"/>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Fibres de coton – Détermination de l’indice micronaire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04-007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Fibres de coton – Détermination de la longueur pincée et de l’indice d’uniformité</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04-008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Balle de Coton – Dimension et masse volumique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04-009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7F2B10">
            <w:pPr>
              <w:spacing w:after="120" w:line="240" w:lineRule="auto"/>
              <w:jc w:val="both"/>
              <w:rPr>
                <w:rFonts w:ascii="Rockwell" w:hAnsi="Rockwell"/>
                <w:sz w:val="24"/>
                <w:szCs w:val="24"/>
              </w:rPr>
            </w:pPr>
            <w:r w:rsidRPr="0061020E">
              <w:rPr>
                <w:rFonts w:ascii="Rockwell" w:hAnsi="Rockwell"/>
                <w:sz w:val="24"/>
                <w:szCs w:val="24"/>
              </w:rPr>
              <w:t xml:space="preserve">Balle de coton – Emballage et </w:t>
            </w:r>
            <w:r w:rsidR="007F2B10">
              <w:rPr>
                <w:rFonts w:ascii="Rockwell" w:hAnsi="Rockwell"/>
                <w:sz w:val="24"/>
                <w:szCs w:val="24"/>
              </w:rPr>
              <w:t>é</w:t>
            </w:r>
            <w:r w:rsidRPr="0061020E">
              <w:rPr>
                <w:rFonts w:ascii="Rockwell" w:hAnsi="Rockwell"/>
                <w:sz w:val="24"/>
                <w:szCs w:val="24"/>
              </w:rPr>
              <w:t>tiquetage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04-010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Morphologie des fibres et fils - Vocabulaire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04-011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Fibres de coton – Détermination de la ténacité de rupture des   faisceaux plats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04-012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Fibres naturelles – Noms génériques et définition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04-013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Textiles – Fibres chimiques – noms génériques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04-014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7F2B10">
            <w:pPr>
              <w:spacing w:after="120" w:line="240" w:lineRule="auto"/>
              <w:jc w:val="both"/>
              <w:rPr>
                <w:rFonts w:ascii="Rockwell" w:hAnsi="Rockwell"/>
                <w:sz w:val="24"/>
                <w:szCs w:val="24"/>
              </w:rPr>
            </w:pPr>
            <w:r w:rsidRPr="0061020E">
              <w:rPr>
                <w:rFonts w:ascii="Rockwell" w:hAnsi="Rockwell"/>
                <w:sz w:val="24"/>
                <w:szCs w:val="24"/>
              </w:rPr>
              <w:t xml:space="preserve"> Textile – </w:t>
            </w:r>
            <w:r w:rsidR="007F2B10">
              <w:rPr>
                <w:rFonts w:ascii="Rockwell" w:hAnsi="Rockwell"/>
                <w:sz w:val="24"/>
                <w:szCs w:val="24"/>
              </w:rPr>
              <w:t>A</w:t>
            </w:r>
            <w:r w:rsidRPr="0061020E">
              <w:rPr>
                <w:rFonts w:ascii="Rockwell" w:hAnsi="Rockwell"/>
                <w:sz w:val="24"/>
                <w:szCs w:val="24"/>
              </w:rPr>
              <w:t>nalyse chimique quantitative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04-015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Textiles – Désignation des fils - Vocabulaire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04-016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Fils sur enroulement – détermination de résistance de rupture d’un fil par la méthode de l’échevette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04-017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Cordages en fibres – Spécifications générales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04-018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Fibres textiles – Détermination de la force de rupture et de l’allongement de rupture des fibres individuelles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04-019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Textiles – Tissus – Détermination de la masse par unité de longueur et de la masse par unité de surface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04-020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Etoffes tissées – Description des défauts – Vocabulaire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04-021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Nontissés - Définition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04-022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Etoffes à mailles – Description des défauts - Vocabulaire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04-023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Textiles – Essais de solidité des teinture</w:t>
            </w:r>
            <w:r w:rsidR="007F2B10">
              <w:rPr>
                <w:rFonts w:ascii="Rockwell" w:hAnsi="Rockwell"/>
                <w:sz w:val="24"/>
                <w:szCs w:val="24"/>
              </w:rPr>
              <w:t xml:space="preserve">s – Spécification pour le tissu - </w:t>
            </w:r>
            <w:r w:rsidRPr="0061020E">
              <w:rPr>
                <w:rFonts w:ascii="Rockwell" w:hAnsi="Rockwell"/>
                <w:sz w:val="24"/>
                <w:szCs w:val="24"/>
              </w:rPr>
              <w:t>témoin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04-024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Agent de surface – contrôle de certains effets de blanchissage – Méthodes d’élaboration et de mi</w:t>
            </w:r>
            <w:r w:rsidR="007F2B10">
              <w:rPr>
                <w:rFonts w:ascii="Rockwell" w:hAnsi="Rockwell"/>
                <w:sz w:val="24"/>
                <w:szCs w:val="24"/>
              </w:rPr>
              <w:t xml:space="preserve">se en œuvre d’un tissu de coton - </w:t>
            </w:r>
            <w:r w:rsidRPr="0061020E">
              <w:rPr>
                <w:rFonts w:ascii="Rockwell" w:hAnsi="Rockwell"/>
                <w:sz w:val="24"/>
                <w:szCs w:val="24"/>
              </w:rPr>
              <w:t>témoin non souillé</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04-025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Essai de solidité des teintures – Echelle de gris pour l’évaluation des dégorgements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04-026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Essai de solidité des teintures -  Solidité des teintures au nettoyage à sec</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04-027 :2011</w:t>
            </w:r>
          </w:p>
        </w:tc>
      </w:tr>
      <w:tr w:rsidR="00C02D57" w:rsidRPr="006847BA" w:rsidTr="00475166">
        <w:trPr>
          <w:trHeight w:val="598"/>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Textiles – Tissus – Détermination  de la variation des dimensions au lavage industriel au voisinage de l’ébullition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04-028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Agent de surface – Contrôle de certains effets de blanchissage – Méthodes d’analyse</w:t>
            </w:r>
            <w:r w:rsidR="007F2B10">
              <w:rPr>
                <w:rFonts w:ascii="Rockwell" w:hAnsi="Rockwell"/>
                <w:sz w:val="24"/>
                <w:szCs w:val="24"/>
              </w:rPr>
              <w:t xml:space="preserve"> et d’essai d’un tissu de coton - </w:t>
            </w:r>
            <w:r w:rsidRPr="0061020E">
              <w:rPr>
                <w:rFonts w:ascii="Rockwell" w:hAnsi="Rockwell"/>
                <w:sz w:val="24"/>
                <w:szCs w:val="24"/>
              </w:rPr>
              <w:t>témoin non souillé</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04-029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Textile – Nettoyage à sec et finition – Partie 2 : Mode opératoires au tétrachloroéthylène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04-031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Vêtements de protection contre la chaleur et la flamme – Recommandations générales pour la sélection, l’entretien et l’utilisation des vêtements de protection</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04-033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Tapis faits à la main – Détermination des types de noeuds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04-034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Tapis – Moquettes à points noués à la main - Echantillonnage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04-035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Tapis fait à la main – Détermination de la longueur de jambage de touffe au-dessus du dossier tissé</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04-036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Analyse chimique quantitative – Partie 1 – Principes généraux des essais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04-037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Analyse chimique quantitative – Partie 2 – Mélanges ternaires de fibres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04-038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Analyse chimique quantitative – partie 3 – Mélanges de viscoses ou certains types de cupro, modal ou lyocell et de fibres de coton (méthodes à l’acide formique et au chlorure de zinc</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04-039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Analyse chimique quantitative – partie 4 – Mélanges de fibres de cellulose et de polyester (méthode à l’acide sulfurique)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04-040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Textiles – Analyse chimique quantitative – Partie 5 – Mélanges de fibres de polypropylène et de certaines autres fibres (Méthode au xylène)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04-041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Textiles – Analyse chimique quantitative – Partie 6 – Mélanges de soie et de laine ou poils (Méthode à l’acide sulfurique)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04-042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Textiles – Analyse chimique quantitative – Partie 7 – Mélanges de fibres de cellulose et d’amiante (Méthode par chauffage)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04-043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Fils sur enroulements – Détermination de la masse linéique (masse par unité de longueur) par la méthode de l’écheveau</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04-044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Détermination des variations dimensionnelles au lavage et au séchage domestiques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04-045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fibre et fils – Détermination de la masse commerciale d’un lot – Partie 1 – Méthode d’obtention des échantillons pour le laboratoire</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04-046 :2011</w:t>
            </w:r>
          </w:p>
        </w:tc>
      </w:tr>
      <w:tr w:rsidR="00C02D57" w:rsidRPr="006847BA" w:rsidTr="00475166">
        <w:trPr>
          <w:trHeight w:val="397"/>
          <w:tblHeader/>
        </w:trPr>
        <w:tc>
          <w:tcPr>
            <w:tcW w:w="602" w:type="pct"/>
          </w:tcPr>
          <w:p w:rsidR="00C02D57" w:rsidRPr="0061020E" w:rsidRDefault="00C02D57" w:rsidP="0088755D">
            <w:pPr>
              <w:numPr>
                <w:ilvl w:val="0"/>
                <w:numId w:val="50"/>
              </w:numPr>
              <w:spacing w:after="120" w:line="240" w:lineRule="auto"/>
              <w:jc w:val="right"/>
              <w:rPr>
                <w:rFonts w:ascii="Rockwell" w:hAnsi="Rockwell"/>
                <w:sz w:val="24"/>
                <w:szCs w:val="24"/>
              </w:rPr>
            </w:pPr>
          </w:p>
        </w:tc>
        <w:tc>
          <w:tcPr>
            <w:tcW w:w="3268"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 xml:space="preserve"> Textile – fibre et fils – Détermination de la masse commerciale d’un lot – Partie 2 – Méthode de nettoyage des éprouvettes</w:t>
            </w:r>
          </w:p>
        </w:tc>
        <w:tc>
          <w:tcPr>
            <w:tcW w:w="1130" w:type="pct"/>
          </w:tcPr>
          <w:p w:rsidR="00C02D57" w:rsidRPr="0061020E" w:rsidRDefault="00C02D57" w:rsidP="0088755D">
            <w:pPr>
              <w:spacing w:after="120" w:line="240" w:lineRule="auto"/>
              <w:jc w:val="both"/>
              <w:rPr>
                <w:rFonts w:ascii="Rockwell" w:hAnsi="Rockwell"/>
                <w:sz w:val="24"/>
                <w:szCs w:val="24"/>
              </w:rPr>
            </w:pPr>
            <w:r w:rsidRPr="0061020E">
              <w:rPr>
                <w:rFonts w:ascii="Rockwell" w:hAnsi="Rockwell"/>
                <w:sz w:val="24"/>
                <w:szCs w:val="24"/>
              </w:rPr>
              <w:t>NBF 04-047 :2011</w:t>
            </w:r>
          </w:p>
        </w:tc>
      </w:tr>
    </w:tbl>
    <w:p w:rsidR="00C02D57" w:rsidRPr="0061020E" w:rsidRDefault="00C02D57" w:rsidP="008F6018">
      <w:pPr>
        <w:pStyle w:val="Paragraphedeliste"/>
        <w:spacing w:after="120" w:line="240" w:lineRule="auto"/>
        <w:jc w:val="both"/>
        <w:rPr>
          <w:rFonts w:ascii="Rockwell" w:hAnsi="Rockwell"/>
          <w:b/>
          <w:sz w:val="24"/>
          <w:szCs w:val="24"/>
          <w:lang w:val="fr-CA"/>
        </w:rPr>
      </w:pPr>
    </w:p>
    <w:p w:rsidR="00D23982" w:rsidRDefault="00D23982" w:rsidP="008F6018">
      <w:pPr>
        <w:spacing w:after="120" w:line="240" w:lineRule="auto"/>
        <w:jc w:val="both"/>
        <w:rPr>
          <w:b/>
        </w:rPr>
      </w:pPr>
      <w:r>
        <w:rPr>
          <w:b/>
        </w:rPr>
        <w:br w:type="page"/>
      </w:r>
    </w:p>
    <w:p w:rsidR="00462DD7" w:rsidRPr="00D23982" w:rsidRDefault="00462DD7" w:rsidP="008F6018">
      <w:pPr>
        <w:spacing w:after="120" w:line="240" w:lineRule="auto"/>
        <w:jc w:val="both"/>
        <w:rPr>
          <w:rFonts w:ascii="Rockwell" w:hAnsi="Rockwell"/>
          <w:b/>
          <w:sz w:val="24"/>
        </w:rPr>
      </w:pPr>
      <w:r w:rsidRPr="00D23982">
        <w:rPr>
          <w:rFonts w:ascii="Rockwell" w:hAnsi="Rockwell"/>
          <w:b/>
          <w:sz w:val="24"/>
        </w:rPr>
        <w:lastRenderedPageBreak/>
        <w:t xml:space="preserve">ANNEXE </w:t>
      </w:r>
      <w:r w:rsidR="00E25D2A" w:rsidRPr="00D23982">
        <w:rPr>
          <w:rFonts w:ascii="Rockwell" w:hAnsi="Rockwell"/>
          <w:b/>
          <w:sz w:val="24"/>
        </w:rPr>
        <w:t>2 </w:t>
      </w:r>
      <w:r w:rsidRPr="00D23982">
        <w:rPr>
          <w:rFonts w:ascii="Rockwell" w:hAnsi="Rockwell"/>
          <w:b/>
          <w:sz w:val="24"/>
        </w:rPr>
        <w:t>: liste des structures d’évaluation de la conformité au Burkina Faso</w:t>
      </w:r>
    </w:p>
    <w:p w:rsidR="0083743F" w:rsidRPr="0061020E" w:rsidRDefault="0083743F" w:rsidP="008F6018">
      <w:pPr>
        <w:spacing w:after="120" w:line="240" w:lineRule="auto"/>
        <w:jc w:val="both"/>
        <w:rPr>
          <w:rFonts w:ascii="Rockwell" w:hAnsi="Rockwell"/>
          <w:sz w:val="24"/>
          <w:szCs w:val="24"/>
        </w:rPr>
      </w:pPr>
    </w:p>
    <w:p w:rsidR="0083743F" w:rsidRPr="0061020E" w:rsidRDefault="0083743F"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 xml:space="preserve">L’Agence </w:t>
      </w:r>
      <w:r w:rsidR="007F2B10" w:rsidRPr="0061020E">
        <w:rPr>
          <w:rFonts w:ascii="Rockwell" w:hAnsi="Rockwell"/>
          <w:b/>
          <w:sz w:val="24"/>
          <w:szCs w:val="24"/>
        </w:rPr>
        <w:t>b</w:t>
      </w:r>
      <w:r w:rsidRPr="0061020E">
        <w:rPr>
          <w:rFonts w:ascii="Rockwell" w:hAnsi="Rockwell"/>
          <w:b/>
          <w:sz w:val="24"/>
          <w:szCs w:val="24"/>
        </w:rPr>
        <w:t xml:space="preserve">urkinabé de la </w:t>
      </w:r>
      <w:r w:rsidR="007F2B10" w:rsidRPr="0061020E">
        <w:rPr>
          <w:rFonts w:ascii="Rockwell" w:hAnsi="Rockwell"/>
          <w:b/>
          <w:sz w:val="24"/>
          <w:szCs w:val="24"/>
        </w:rPr>
        <w:t>n</w:t>
      </w:r>
      <w:r w:rsidRPr="0061020E">
        <w:rPr>
          <w:rFonts w:ascii="Rockwell" w:hAnsi="Rockwell"/>
          <w:b/>
          <w:sz w:val="24"/>
          <w:szCs w:val="24"/>
        </w:rPr>
        <w:t xml:space="preserve">ormalisation et de la </w:t>
      </w:r>
      <w:r w:rsidR="007F2B10" w:rsidRPr="0061020E">
        <w:rPr>
          <w:rFonts w:ascii="Rockwell" w:hAnsi="Rockwell"/>
          <w:b/>
          <w:sz w:val="24"/>
          <w:szCs w:val="24"/>
        </w:rPr>
        <w:t>m</w:t>
      </w:r>
      <w:r w:rsidRPr="0061020E">
        <w:rPr>
          <w:rFonts w:ascii="Rockwell" w:hAnsi="Rockwell"/>
          <w:b/>
          <w:sz w:val="24"/>
          <w:szCs w:val="24"/>
        </w:rPr>
        <w:t>étrologie (ABNORM)</w:t>
      </w:r>
    </w:p>
    <w:p w:rsidR="0083743F" w:rsidRPr="0061020E" w:rsidRDefault="0083743F" w:rsidP="008F6018">
      <w:pPr>
        <w:spacing w:after="120" w:line="240" w:lineRule="auto"/>
        <w:jc w:val="both"/>
        <w:rPr>
          <w:rFonts w:ascii="Rockwell" w:hAnsi="Rockwell"/>
          <w:sz w:val="24"/>
          <w:szCs w:val="24"/>
        </w:rPr>
      </w:pPr>
      <w:r w:rsidRPr="0061020E">
        <w:rPr>
          <w:rFonts w:ascii="Rockwell" w:hAnsi="Rockwell"/>
          <w:sz w:val="24"/>
          <w:szCs w:val="24"/>
        </w:rPr>
        <w:t xml:space="preserve">L’Agence </w:t>
      </w:r>
      <w:r w:rsidR="007F2B10">
        <w:rPr>
          <w:rFonts w:ascii="Rockwell" w:hAnsi="Rockwell"/>
          <w:sz w:val="24"/>
          <w:szCs w:val="24"/>
        </w:rPr>
        <w:t>b</w:t>
      </w:r>
      <w:r w:rsidRPr="0061020E">
        <w:rPr>
          <w:rFonts w:ascii="Rockwell" w:hAnsi="Rockwell"/>
          <w:sz w:val="24"/>
          <w:szCs w:val="24"/>
        </w:rPr>
        <w:t xml:space="preserve">urkinabé de la </w:t>
      </w:r>
      <w:r w:rsidR="007F2B10">
        <w:rPr>
          <w:rFonts w:ascii="Rockwell" w:hAnsi="Rockwell"/>
          <w:sz w:val="24"/>
          <w:szCs w:val="24"/>
        </w:rPr>
        <w:t>n</w:t>
      </w:r>
      <w:r w:rsidRPr="0061020E">
        <w:rPr>
          <w:rFonts w:ascii="Rockwell" w:hAnsi="Rockwell"/>
          <w:sz w:val="24"/>
          <w:szCs w:val="24"/>
        </w:rPr>
        <w:t xml:space="preserve">ormalisation et de la </w:t>
      </w:r>
      <w:r w:rsidR="007F2B10">
        <w:rPr>
          <w:rFonts w:ascii="Rockwell" w:hAnsi="Rockwell"/>
          <w:sz w:val="24"/>
          <w:szCs w:val="24"/>
        </w:rPr>
        <w:t>m</w:t>
      </w:r>
      <w:r w:rsidRPr="0061020E">
        <w:rPr>
          <w:rFonts w:ascii="Rockwell" w:hAnsi="Rockwell"/>
          <w:sz w:val="24"/>
          <w:szCs w:val="24"/>
        </w:rPr>
        <w:t>étrologie (ABNORM) a été créé</w:t>
      </w:r>
      <w:r w:rsidR="007F2B10">
        <w:rPr>
          <w:rFonts w:ascii="Rockwell" w:hAnsi="Rockwell"/>
          <w:sz w:val="24"/>
          <w:szCs w:val="24"/>
        </w:rPr>
        <w:t>e</w:t>
      </w:r>
      <w:r w:rsidRPr="0061020E">
        <w:rPr>
          <w:rFonts w:ascii="Rockwell" w:hAnsi="Rockwell"/>
          <w:sz w:val="24"/>
          <w:szCs w:val="24"/>
        </w:rPr>
        <w:t xml:space="preserve"> le 18 juillet 2012</w:t>
      </w:r>
      <w:r w:rsidR="007F2B10">
        <w:rPr>
          <w:rFonts w:ascii="Rockwell" w:hAnsi="Rockwell"/>
          <w:sz w:val="24"/>
          <w:szCs w:val="24"/>
        </w:rPr>
        <w:t>,</w:t>
      </w:r>
      <w:r w:rsidRPr="0061020E">
        <w:rPr>
          <w:rFonts w:ascii="Rockwell" w:hAnsi="Rockwell"/>
          <w:sz w:val="24"/>
          <w:szCs w:val="24"/>
        </w:rPr>
        <w:t xml:space="preserve"> suite à la fusion de deux directions compétentes du Ministère </w:t>
      </w:r>
      <w:r w:rsidR="00C54440" w:rsidRPr="0061020E">
        <w:rPr>
          <w:rFonts w:ascii="Rockwell" w:hAnsi="Rockwell"/>
          <w:sz w:val="24"/>
          <w:szCs w:val="24"/>
        </w:rPr>
        <w:t xml:space="preserve">du </w:t>
      </w:r>
      <w:r w:rsidR="007F2B10">
        <w:rPr>
          <w:rFonts w:ascii="Rockwell" w:hAnsi="Rockwell"/>
          <w:sz w:val="24"/>
          <w:szCs w:val="24"/>
        </w:rPr>
        <w:t>c</w:t>
      </w:r>
      <w:r w:rsidR="00C54440" w:rsidRPr="0061020E">
        <w:rPr>
          <w:rFonts w:ascii="Rockwell" w:hAnsi="Rockwell"/>
          <w:sz w:val="24"/>
          <w:szCs w:val="24"/>
        </w:rPr>
        <w:t>ommerce, de l’</w:t>
      </w:r>
      <w:r w:rsidR="007F2B10">
        <w:rPr>
          <w:rFonts w:ascii="Rockwell" w:hAnsi="Rockwell"/>
          <w:sz w:val="24"/>
          <w:szCs w:val="24"/>
        </w:rPr>
        <w:t>i</w:t>
      </w:r>
      <w:r w:rsidR="00C54440" w:rsidRPr="0061020E">
        <w:rPr>
          <w:rFonts w:ascii="Rockwell" w:hAnsi="Rockwell"/>
          <w:sz w:val="24"/>
          <w:szCs w:val="24"/>
        </w:rPr>
        <w:t xml:space="preserve">ndustrie </w:t>
      </w:r>
      <w:r w:rsidRPr="0061020E">
        <w:rPr>
          <w:rFonts w:ascii="Rockwell" w:hAnsi="Rockwell"/>
          <w:sz w:val="24"/>
          <w:szCs w:val="24"/>
        </w:rPr>
        <w:t>et de l'</w:t>
      </w:r>
      <w:r w:rsidR="007F2B10">
        <w:rPr>
          <w:rFonts w:ascii="Rockwell" w:hAnsi="Rockwell"/>
          <w:sz w:val="24"/>
          <w:szCs w:val="24"/>
        </w:rPr>
        <w:t>a</w:t>
      </w:r>
      <w:r w:rsidRPr="0061020E">
        <w:rPr>
          <w:rFonts w:ascii="Rockwell" w:hAnsi="Rockwell"/>
          <w:sz w:val="24"/>
          <w:szCs w:val="24"/>
        </w:rPr>
        <w:t xml:space="preserve">rtisanat . La mission de l’ABNORM est de mettre en œuvre de la politique nationale en matière de normalisation, de certification, de contrôle et de promotion de la qualité, de métrologie et d’accréditation. L’agence est chargée de :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mettre en œuvre les orientations stratégiques de la politique nationale de la qualité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élaborer et contrôler les r</w:t>
      </w:r>
      <w:r w:rsidR="007F2B10">
        <w:rPr>
          <w:rFonts w:ascii="Rockwell" w:hAnsi="Rockwell"/>
          <w:sz w:val="24"/>
          <w:szCs w:val="24"/>
        </w:rPr>
        <w:t>é</w:t>
      </w:r>
      <w:r w:rsidRPr="0061020E">
        <w:rPr>
          <w:rFonts w:ascii="Rockwell" w:hAnsi="Rockwell"/>
          <w:sz w:val="24"/>
          <w:szCs w:val="24"/>
        </w:rPr>
        <w:t>glementations</w:t>
      </w:r>
      <w:r w:rsidR="007F2B10">
        <w:rPr>
          <w:rFonts w:ascii="Rockwell" w:hAnsi="Rockwell"/>
          <w:sz w:val="24"/>
          <w:szCs w:val="24"/>
        </w:rPr>
        <w:t> ;</w:t>
      </w:r>
      <w:r w:rsidRPr="0061020E">
        <w:rPr>
          <w:rFonts w:ascii="Rockwell" w:hAnsi="Rockwell"/>
          <w:sz w:val="24"/>
          <w:szCs w:val="24"/>
        </w:rPr>
        <w:t xml:space="preserve"> élaborer et diffuser les normes nationales, spécifications techniques et codes de bonnes pratiques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assurer l’étalonnage et le raccordement au système international d’unités (SI) des instruments de mesure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contrôler et inspecter la qualité des produits, biens et des services (importation, exportation et production locale)</w:t>
      </w:r>
      <w:r w:rsidR="007F2B10">
        <w:rPr>
          <w:rFonts w:ascii="Rockwell" w:hAnsi="Rockwell"/>
          <w:sz w:val="24"/>
          <w:szCs w:val="24"/>
        </w:rPr>
        <w:t>,</w:t>
      </w:r>
      <w:r w:rsidRPr="0061020E">
        <w:rPr>
          <w:rFonts w:ascii="Rockwell" w:hAnsi="Rockwell"/>
          <w:sz w:val="24"/>
          <w:szCs w:val="24"/>
        </w:rPr>
        <w:t xml:space="preserve"> conformément aux normes obligatoires et règlements techniques en vigueur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assurer la certification des produits, des systèmes et la compétence des personnes selon les normes nationales ou normes internationales pertinentes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promouvoir l’usage régulière des normes, des codes de bonnes pratiques, des certifications, des instruments de mesure raccordés au système international d’unités de mesure SI dans tous les domaines de la vie nationale ;</w:t>
      </w:r>
    </w:p>
    <w:p w:rsidR="0083743F"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conseiller et assister les entreprises industrielles, commerciales et de prestations de services;</w:t>
      </w:r>
    </w:p>
    <w:p w:rsidR="00462DD7" w:rsidRPr="0061020E" w:rsidRDefault="0083743F" w:rsidP="008F6018">
      <w:pPr>
        <w:pStyle w:val="Paragraphedeliste"/>
        <w:numPr>
          <w:ilvl w:val="0"/>
          <w:numId w:val="79"/>
        </w:numPr>
        <w:spacing w:after="120" w:line="240" w:lineRule="auto"/>
        <w:jc w:val="both"/>
        <w:rPr>
          <w:rFonts w:ascii="Rockwell" w:hAnsi="Rockwell"/>
          <w:sz w:val="24"/>
          <w:szCs w:val="24"/>
        </w:rPr>
      </w:pPr>
      <w:r w:rsidRPr="0061020E">
        <w:rPr>
          <w:rFonts w:ascii="Rockwell" w:hAnsi="Rockwell"/>
          <w:sz w:val="24"/>
          <w:szCs w:val="24"/>
        </w:rPr>
        <w:t xml:space="preserve">représenter le Burkina Faso </w:t>
      </w:r>
      <w:r w:rsidR="007F2B10">
        <w:rPr>
          <w:rFonts w:ascii="Rockwell" w:hAnsi="Rockwell"/>
          <w:sz w:val="24"/>
          <w:szCs w:val="24"/>
        </w:rPr>
        <w:t>aux</w:t>
      </w:r>
      <w:r w:rsidRPr="0061020E">
        <w:rPr>
          <w:rFonts w:ascii="Rockwell" w:hAnsi="Rockwell"/>
          <w:sz w:val="24"/>
          <w:szCs w:val="24"/>
        </w:rPr>
        <w:t xml:space="preserve"> organisations régionales et internationales actives dans le domaine de la qualité.</w:t>
      </w:r>
    </w:p>
    <w:p w:rsidR="00D713DC" w:rsidRPr="0061020E" w:rsidRDefault="00D713DC" w:rsidP="008F6018">
      <w:pPr>
        <w:spacing w:after="120" w:line="240" w:lineRule="auto"/>
        <w:jc w:val="both"/>
        <w:rPr>
          <w:rFonts w:ascii="Rockwell" w:hAnsi="Rockwell"/>
          <w:sz w:val="24"/>
          <w:szCs w:val="24"/>
        </w:rPr>
      </w:pPr>
    </w:p>
    <w:p w:rsidR="00D713DC" w:rsidRPr="0061020E" w:rsidRDefault="00D713DC"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Le Laboratoire national de santé publique (LNSP)</w:t>
      </w:r>
    </w:p>
    <w:p w:rsidR="00D713DC" w:rsidRPr="0061020E" w:rsidRDefault="00D713DC" w:rsidP="008F6018">
      <w:pPr>
        <w:spacing w:after="120" w:line="240" w:lineRule="auto"/>
        <w:jc w:val="both"/>
        <w:rPr>
          <w:rFonts w:ascii="Rockwell" w:hAnsi="Rockwell"/>
          <w:b/>
          <w:sz w:val="24"/>
          <w:szCs w:val="24"/>
        </w:rPr>
      </w:pPr>
    </w:p>
    <w:p w:rsidR="00D713DC" w:rsidRPr="0061020E" w:rsidRDefault="00D713DC" w:rsidP="008F6018">
      <w:pPr>
        <w:spacing w:after="120" w:line="240" w:lineRule="auto"/>
        <w:jc w:val="both"/>
        <w:rPr>
          <w:rFonts w:ascii="Rockwell" w:hAnsi="Rockwell"/>
          <w:sz w:val="24"/>
          <w:szCs w:val="24"/>
        </w:rPr>
      </w:pPr>
      <w:r w:rsidRPr="0061020E">
        <w:rPr>
          <w:rFonts w:ascii="Rockwell" w:hAnsi="Rockwell"/>
          <w:sz w:val="24"/>
          <w:szCs w:val="24"/>
        </w:rPr>
        <w:t xml:space="preserve">Etablissement public rattaché au Ministère de la </w:t>
      </w:r>
      <w:r w:rsidR="007F2B10">
        <w:rPr>
          <w:rFonts w:ascii="Rockwell" w:hAnsi="Rockwell"/>
          <w:sz w:val="24"/>
          <w:szCs w:val="24"/>
        </w:rPr>
        <w:t>s</w:t>
      </w:r>
      <w:r w:rsidRPr="0061020E">
        <w:rPr>
          <w:rFonts w:ascii="Rockwell" w:hAnsi="Rockwell"/>
          <w:sz w:val="24"/>
          <w:szCs w:val="24"/>
        </w:rPr>
        <w:t>anté (MS), Le LNSP est responsable du contrôle de la qualité des produits</w:t>
      </w:r>
      <w:r w:rsidRPr="0061020E">
        <w:rPr>
          <w:rFonts w:ascii="Rockwell" w:hAnsi="Rockwell" w:cs="Arial"/>
          <w:color w:val="333333"/>
          <w:sz w:val="24"/>
          <w:szCs w:val="24"/>
        </w:rPr>
        <w:t xml:space="preserve"> </w:t>
      </w:r>
      <w:r w:rsidRPr="0061020E">
        <w:rPr>
          <w:rFonts w:ascii="Rockwell" w:hAnsi="Rockwell" w:cs="Arial"/>
          <w:sz w:val="24"/>
          <w:szCs w:val="24"/>
        </w:rPr>
        <w:t xml:space="preserve">de santé, des aliments, de l'eau et des boissons des pesticides, des cosmétiques, des tabacs et cigarettes (et tous autres produits et articles susceptibles de constituer des menaces </w:t>
      </w:r>
      <w:r w:rsidR="007F2B10">
        <w:rPr>
          <w:rFonts w:ascii="Rockwell" w:hAnsi="Rockwell" w:cs="Arial"/>
          <w:sz w:val="24"/>
          <w:szCs w:val="24"/>
        </w:rPr>
        <w:t xml:space="preserve">à </w:t>
      </w:r>
      <w:r w:rsidRPr="0061020E">
        <w:rPr>
          <w:rFonts w:ascii="Rockwell" w:hAnsi="Rockwell" w:cs="Arial"/>
          <w:sz w:val="24"/>
          <w:szCs w:val="24"/>
        </w:rPr>
        <w:t>la santé). L</w:t>
      </w:r>
      <w:r w:rsidRPr="0061020E">
        <w:rPr>
          <w:rFonts w:ascii="Rockwell" w:hAnsi="Rockwell"/>
          <w:sz w:val="24"/>
          <w:szCs w:val="24"/>
        </w:rPr>
        <w:t>es contrôles du LNSP sont suivis de la délivrance d’un certificat de qualité sanitaire.</w:t>
      </w:r>
    </w:p>
    <w:p w:rsidR="00D713DC" w:rsidRPr="0061020E" w:rsidRDefault="00D713DC" w:rsidP="008F6018">
      <w:pPr>
        <w:spacing w:after="120" w:line="240" w:lineRule="auto"/>
        <w:jc w:val="both"/>
        <w:rPr>
          <w:rFonts w:ascii="Rockwell" w:hAnsi="Rockwell"/>
          <w:color w:val="000000"/>
          <w:sz w:val="24"/>
          <w:szCs w:val="24"/>
        </w:rPr>
      </w:pPr>
    </w:p>
    <w:p w:rsidR="00D713DC" w:rsidRPr="0061020E" w:rsidRDefault="00D713DC"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La Direction de l’action sanitaire (DAS) de la commune de Ouagadougou</w:t>
      </w:r>
    </w:p>
    <w:p w:rsidR="00D713DC" w:rsidRPr="0061020E" w:rsidRDefault="00D713DC" w:rsidP="008F6018">
      <w:pPr>
        <w:spacing w:after="120" w:line="240" w:lineRule="auto"/>
        <w:jc w:val="both"/>
        <w:rPr>
          <w:rFonts w:ascii="Rockwell" w:hAnsi="Rockwell"/>
          <w:sz w:val="24"/>
          <w:szCs w:val="24"/>
        </w:rPr>
      </w:pPr>
    </w:p>
    <w:p w:rsidR="00D713DC" w:rsidRPr="0061020E" w:rsidRDefault="00D713DC" w:rsidP="008F6018">
      <w:pPr>
        <w:spacing w:after="120" w:line="240" w:lineRule="auto"/>
        <w:jc w:val="both"/>
        <w:rPr>
          <w:rFonts w:ascii="Rockwell" w:hAnsi="Rockwell"/>
          <w:sz w:val="24"/>
          <w:szCs w:val="24"/>
        </w:rPr>
      </w:pPr>
      <w:r w:rsidRPr="0061020E">
        <w:rPr>
          <w:rFonts w:ascii="Rockwell" w:hAnsi="Rockwell"/>
          <w:sz w:val="24"/>
          <w:szCs w:val="24"/>
        </w:rPr>
        <w:t xml:space="preserve">Service anciennement rattaché au </w:t>
      </w:r>
      <w:r w:rsidR="007F2B10">
        <w:rPr>
          <w:rFonts w:ascii="Rockwell" w:hAnsi="Rockwell"/>
          <w:sz w:val="24"/>
          <w:szCs w:val="24"/>
        </w:rPr>
        <w:t>s</w:t>
      </w:r>
      <w:r w:rsidRPr="0061020E">
        <w:rPr>
          <w:rFonts w:ascii="Rockwell" w:hAnsi="Rockwell"/>
          <w:sz w:val="24"/>
          <w:szCs w:val="24"/>
        </w:rPr>
        <w:t xml:space="preserve">ecrétariat </w:t>
      </w:r>
      <w:r w:rsidR="007F2B10">
        <w:rPr>
          <w:rFonts w:ascii="Rockwell" w:hAnsi="Rockwell"/>
          <w:sz w:val="24"/>
          <w:szCs w:val="24"/>
        </w:rPr>
        <w:t>g</w:t>
      </w:r>
      <w:r w:rsidRPr="0061020E">
        <w:rPr>
          <w:rFonts w:ascii="Rockwell" w:hAnsi="Rockwell"/>
          <w:sz w:val="24"/>
          <w:szCs w:val="24"/>
        </w:rPr>
        <w:t>énéral du Ministère de la santé, la DAS compte 3 services : (i) vaccination et consultation, (ii) hygiène alimentaire et salubrité et (iii) formations sanitaires – dispensaires, maternités, bu</w:t>
      </w:r>
      <w:r w:rsidR="007F2B10">
        <w:rPr>
          <w:rFonts w:ascii="Rockwell" w:hAnsi="Rockwell"/>
          <w:sz w:val="24"/>
          <w:szCs w:val="24"/>
        </w:rPr>
        <w:t>reaux d’arrondissement</w:t>
      </w:r>
      <w:r w:rsidRPr="0061020E">
        <w:rPr>
          <w:rFonts w:ascii="Rockwell" w:hAnsi="Rockwell"/>
          <w:sz w:val="24"/>
          <w:szCs w:val="24"/>
        </w:rPr>
        <w:t>, etc.</w:t>
      </w:r>
    </w:p>
    <w:p w:rsidR="00D713DC" w:rsidRPr="0061020E" w:rsidRDefault="00D713DC" w:rsidP="008F6018">
      <w:pPr>
        <w:spacing w:after="120" w:line="240" w:lineRule="auto"/>
        <w:jc w:val="both"/>
        <w:rPr>
          <w:rFonts w:ascii="Rockwell" w:hAnsi="Rockwell"/>
          <w:sz w:val="24"/>
          <w:szCs w:val="24"/>
        </w:rPr>
      </w:pPr>
      <w:r w:rsidRPr="0061020E">
        <w:rPr>
          <w:rFonts w:ascii="Rockwell" w:hAnsi="Rockwell"/>
          <w:sz w:val="24"/>
          <w:szCs w:val="24"/>
        </w:rPr>
        <w:t xml:space="preserve">Le service de l’hygiène alimentaire et de la salubrité intervient aux niveaux : </w:t>
      </w:r>
    </w:p>
    <w:p w:rsidR="00D713DC" w:rsidRPr="0061020E" w:rsidRDefault="00D713DC" w:rsidP="008F6018">
      <w:pPr>
        <w:pStyle w:val="Paragraphedeliste"/>
        <w:numPr>
          <w:ilvl w:val="0"/>
          <w:numId w:val="80"/>
        </w:numPr>
        <w:spacing w:after="120" w:line="240" w:lineRule="auto"/>
        <w:jc w:val="both"/>
        <w:rPr>
          <w:rFonts w:ascii="Rockwell" w:hAnsi="Rockwell"/>
          <w:sz w:val="24"/>
          <w:szCs w:val="24"/>
        </w:rPr>
      </w:pPr>
      <w:r w:rsidRPr="0061020E">
        <w:rPr>
          <w:rFonts w:ascii="Rockwell" w:hAnsi="Rockwell"/>
          <w:sz w:val="24"/>
          <w:szCs w:val="24"/>
        </w:rPr>
        <w:t>de la production, par exemple</w:t>
      </w:r>
      <w:r w:rsidR="00BA0E95">
        <w:rPr>
          <w:rFonts w:ascii="Rockwell" w:hAnsi="Rockwell"/>
          <w:sz w:val="24"/>
          <w:szCs w:val="24"/>
        </w:rPr>
        <w:t>,</w:t>
      </w:r>
      <w:r w:rsidRPr="0061020E">
        <w:rPr>
          <w:rFonts w:ascii="Rockwell" w:hAnsi="Rockwell"/>
          <w:sz w:val="24"/>
          <w:szCs w:val="24"/>
        </w:rPr>
        <w:t xml:space="preserve"> sur la production laitière ou mara</w:t>
      </w:r>
      <w:r w:rsidR="007F2B10">
        <w:rPr>
          <w:rFonts w:ascii="Rockwell" w:hAnsi="Rockwell"/>
          <w:sz w:val="24"/>
          <w:szCs w:val="24"/>
        </w:rPr>
        <w:t>î</w:t>
      </w:r>
      <w:r w:rsidRPr="0061020E">
        <w:rPr>
          <w:rFonts w:ascii="Rockwell" w:hAnsi="Rockwell"/>
          <w:sz w:val="24"/>
          <w:szCs w:val="24"/>
        </w:rPr>
        <w:t>chère, en collaboration avec les services phytosanitaires du MAHRH.</w:t>
      </w:r>
    </w:p>
    <w:p w:rsidR="00D713DC" w:rsidRPr="0061020E" w:rsidRDefault="00D713DC" w:rsidP="008F6018">
      <w:pPr>
        <w:pStyle w:val="Paragraphedeliste"/>
        <w:numPr>
          <w:ilvl w:val="0"/>
          <w:numId w:val="80"/>
        </w:numPr>
        <w:spacing w:after="120" w:line="240" w:lineRule="auto"/>
        <w:jc w:val="both"/>
        <w:rPr>
          <w:rFonts w:ascii="Rockwell" w:hAnsi="Rockwell"/>
          <w:sz w:val="24"/>
          <w:szCs w:val="24"/>
        </w:rPr>
      </w:pPr>
      <w:r w:rsidRPr="0061020E">
        <w:rPr>
          <w:rFonts w:ascii="Rockwell" w:hAnsi="Rockwell"/>
          <w:sz w:val="24"/>
          <w:szCs w:val="24"/>
        </w:rPr>
        <w:t xml:space="preserve">des points de vente, de stockage, de restauration et d’abattage. Les personnels des bureaux d’arrondissement effectuent des contrôles selon un </w:t>
      </w:r>
      <w:r w:rsidRPr="0061020E">
        <w:rPr>
          <w:rFonts w:ascii="Rockwell" w:hAnsi="Rockwell"/>
          <w:sz w:val="24"/>
          <w:szCs w:val="24"/>
        </w:rPr>
        <w:lastRenderedPageBreak/>
        <w:t>cahier des charges établi. Le contrôle va porter par exemple</w:t>
      </w:r>
      <w:r w:rsidR="009C7F78">
        <w:rPr>
          <w:rFonts w:ascii="Rockwell" w:hAnsi="Rockwell"/>
          <w:sz w:val="24"/>
          <w:szCs w:val="24"/>
        </w:rPr>
        <w:t>,</w:t>
      </w:r>
      <w:r w:rsidRPr="0061020E">
        <w:rPr>
          <w:rFonts w:ascii="Rockwell" w:hAnsi="Rockwell"/>
          <w:sz w:val="24"/>
          <w:szCs w:val="24"/>
        </w:rPr>
        <w:t xml:space="preserve"> sur les dates de péremption et les aspects visuels des produits. En cas de problème, le produit sera saisi et peut-être versé à un laboratoire (LNSP ou CRS-BAN par exemple) pour analyse.</w:t>
      </w:r>
    </w:p>
    <w:p w:rsidR="00D713DC" w:rsidRPr="0061020E" w:rsidRDefault="00D713DC" w:rsidP="008F6018">
      <w:pPr>
        <w:pStyle w:val="Paragraphedeliste"/>
        <w:numPr>
          <w:ilvl w:val="0"/>
          <w:numId w:val="80"/>
        </w:numPr>
        <w:spacing w:after="120" w:line="240" w:lineRule="auto"/>
        <w:jc w:val="both"/>
        <w:rPr>
          <w:rFonts w:ascii="Rockwell" w:hAnsi="Rockwell"/>
          <w:sz w:val="24"/>
          <w:szCs w:val="24"/>
        </w:rPr>
      </w:pPr>
      <w:r w:rsidRPr="0061020E">
        <w:rPr>
          <w:rFonts w:ascii="Rockwell" w:hAnsi="Rockwell"/>
          <w:sz w:val="24"/>
          <w:szCs w:val="24"/>
        </w:rPr>
        <w:t>des unités de transformation, par une analyse critique de la chaîne de production (guides de bonnes pratiques, processus d’hygiène industrielle et HACCP)</w:t>
      </w:r>
    </w:p>
    <w:p w:rsidR="00D713DC" w:rsidRPr="0061020E" w:rsidRDefault="00D713DC" w:rsidP="008F6018">
      <w:pPr>
        <w:pStyle w:val="Paragraphedeliste"/>
        <w:spacing w:after="120" w:line="240" w:lineRule="auto"/>
        <w:jc w:val="both"/>
        <w:rPr>
          <w:rFonts w:ascii="Rockwell" w:hAnsi="Rockwell"/>
          <w:sz w:val="24"/>
          <w:szCs w:val="24"/>
        </w:rPr>
      </w:pPr>
    </w:p>
    <w:p w:rsidR="00D713DC" w:rsidRPr="0061020E" w:rsidRDefault="00D713DC" w:rsidP="008F6018">
      <w:pPr>
        <w:pStyle w:val="Paragraphedeliste"/>
        <w:spacing w:after="120" w:line="240" w:lineRule="auto"/>
        <w:jc w:val="both"/>
        <w:rPr>
          <w:rFonts w:ascii="Rockwell" w:hAnsi="Rockwell"/>
          <w:sz w:val="24"/>
          <w:szCs w:val="24"/>
        </w:rPr>
      </w:pPr>
      <w:r w:rsidRPr="0061020E">
        <w:rPr>
          <w:rFonts w:ascii="Rockwell" w:hAnsi="Rockwell"/>
          <w:sz w:val="24"/>
          <w:szCs w:val="24"/>
        </w:rPr>
        <w:t xml:space="preserve"> </w:t>
      </w:r>
    </w:p>
    <w:p w:rsidR="00D713DC" w:rsidRPr="0061020E" w:rsidRDefault="00D713DC"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 xml:space="preserve">Le Laboratoire national du </w:t>
      </w:r>
      <w:r w:rsidR="009C7F78">
        <w:rPr>
          <w:rFonts w:ascii="Rockwell" w:hAnsi="Rockwell"/>
          <w:b/>
          <w:sz w:val="24"/>
          <w:szCs w:val="24"/>
        </w:rPr>
        <w:t>b</w:t>
      </w:r>
      <w:r w:rsidRPr="0061020E">
        <w:rPr>
          <w:rFonts w:ascii="Rockwell" w:hAnsi="Rockwell"/>
          <w:b/>
          <w:sz w:val="24"/>
          <w:szCs w:val="24"/>
        </w:rPr>
        <w:t xml:space="preserve">âtiment et </w:t>
      </w:r>
      <w:r w:rsidR="009C7F78">
        <w:rPr>
          <w:rFonts w:ascii="Rockwell" w:hAnsi="Rockwell"/>
          <w:b/>
          <w:sz w:val="24"/>
          <w:szCs w:val="24"/>
        </w:rPr>
        <w:t>t</w:t>
      </w:r>
      <w:r w:rsidRPr="0061020E">
        <w:rPr>
          <w:rFonts w:ascii="Rockwell" w:hAnsi="Rockwell"/>
          <w:b/>
          <w:sz w:val="24"/>
          <w:szCs w:val="24"/>
        </w:rPr>
        <w:t xml:space="preserve">ravaux </w:t>
      </w:r>
      <w:r w:rsidR="009C7F78">
        <w:rPr>
          <w:rFonts w:ascii="Rockwell" w:hAnsi="Rockwell"/>
          <w:b/>
          <w:sz w:val="24"/>
          <w:szCs w:val="24"/>
        </w:rPr>
        <w:t>p</w:t>
      </w:r>
      <w:r w:rsidRPr="0061020E">
        <w:rPr>
          <w:rFonts w:ascii="Rockwell" w:hAnsi="Rockwell"/>
          <w:b/>
          <w:sz w:val="24"/>
          <w:szCs w:val="24"/>
        </w:rPr>
        <w:t>ublics (LNBTP)</w:t>
      </w:r>
    </w:p>
    <w:p w:rsidR="00D713DC" w:rsidRPr="0061020E" w:rsidRDefault="00D713DC" w:rsidP="008F6018">
      <w:pPr>
        <w:spacing w:after="120" w:line="240" w:lineRule="auto"/>
        <w:jc w:val="both"/>
        <w:rPr>
          <w:rFonts w:ascii="Rockwell" w:hAnsi="Rockwell"/>
          <w:sz w:val="24"/>
          <w:szCs w:val="24"/>
        </w:rPr>
      </w:pPr>
    </w:p>
    <w:p w:rsidR="00D713DC" w:rsidRPr="0061020E" w:rsidRDefault="00D713DC" w:rsidP="008F6018">
      <w:pPr>
        <w:spacing w:after="120" w:line="240" w:lineRule="auto"/>
        <w:jc w:val="both"/>
        <w:rPr>
          <w:rFonts w:ascii="Rockwell" w:hAnsi="Rockwell"/>
          <w:sz w:val="24"/>
          <w:szCs w:val="24"/>
        </w:rPr>
      </w:pPr>
      <w:r w:rsidRPr="0061020E">
        <w:rPr>
          <w:rFonts w:ascii="Rockwell" w:hAnsi="Rockwell"/>
          <w:sz w:val="24"/>
          <w:szCs w:val="24"/>
        </w:rPr>
        <w:t>Le LNBTP est charg</w:t>
      </w:r>
      <w:r w:rsidR="009C7F78">
        <w:rPr>
          <w:rFonts w:ascii="Rockwell" w:hAnsi="Rockwell"/>
          <w:sz w:val="24"/>
          <w:szCs w:val="24"/>
        </w:rPr>
        <w:t>é</w:t>
      </w:r>
      <w:r w:rsidRPr="0061020E">
        <w:rPr>
          <w:rFonts w:ascii="Rockwell" w:hAnsi="Rockwell"/>
          <w:sz w:val="24"/>
          <w:szCs w:val="24"/>
        </w:rPr>
        <w:t xml:space="preserve"> des études et du contrôle dans le domaine du BTP et du contrôle de la qualité des matériaux : ciment, béton, etc. Il est à noter que le LNBTP a un rôle de contrôle qualité et d’analyse technique (cf. tableau ci-après) mais pas de certification. Celle-ci, basée sur le code de l’urbanisme et de la construction, relève d’institutions ministérielles, notamment le Ministère de l’</w:t>
      </w:r>
      <w:r w:rsidR="009C7F78">
        <w:rPr>
          <w:rFonts w:ascii="Rockwell" w:hAnsi="Rockwell"/>
          <w:sz w:val="24"/>
          <w:szCs w:val="24"/>
        </w:rPr>
        <w:t>h</w:t>
      </w:r>
      <w:r w:rsidRPr="0061020E">
        <w:rPr>
          <w:rFonts w:ascii="Rockwell" w:hAnsi="Rockwell"/>
          <w:sz w:val="24"/>
          <w:szCs w:val="24"/>
        </w:rPr>
        <w:t>abitat et de l’</w:t>
      </w:r>
      <w:r w:rsidR="009C7F78">
        <w:rPr>
          <w:rFonts w:ascii="Rockwell" w:hAnsi="Rockwell"/>
          <w:sz w:val="24"/>
          <w:szCs w:val="24"/>
        </w:rPr>
        <w:t>u</w:t>
      </w:r>
      <w:r w:rsidRPr="0061020E">
        <w:rPr>
          <w:rFonts w:ascii="Rockwell" w:hAnsi="Rockwell"/>
          <w:sz w:val="24"/>
          <w:szCs w:val="24"/>
        </w:rPr>
        <w:t xml:space="preserve">rbanisme. </w:t>
      </w:r>
    </w:p>
    <w:p w:rsidR="00D713DC" w:rsidRPr="0061020E" w:rsidRDefault="00D713DC" w:rsidP="008F6018">
      <w:pPr>
        <w:spacing w:after="120" w:line="240" w:lineRule="auto"/>
        <w:jc w:val="both"/>
        <w:rPr>
          <w:rFonts w:ascii="Rockwell" w:hAnsi="Rockwell"/>
          <w:color w:val="000000"/>
          <w:sz w:val="24"/>
          <w:szCs w:val="24"/>
        </w:rPr>
      </w:pPr>
    </w:p>
    <w:p w:rsidR="00D713DC" w:rsidRPr="0061020E" w:rsidRDefault="00D713DC"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 xml:space="preserve">L’Agence </w:t>
      </w:r>
      <w:r w:rsidR="009C7F78">
        <w:rPr>
          <w:rFonts w:ascii="Rockwell" w:hAnsi="Rockwell"/>
          <w:b/>
          <w:sz w:val="24"/>
          <w:szCs w:val="24"/>
        </w:rPr>
        <w:t>n</w:t>
      </w:r>
      <w:r w:rsidRPr="0061020E">
        <w:rPr>
          <w:rFonts w:ascii="Rockwell" w:hAnsi="Rockwell"/>
          <w:b/>
          <w:sz w:val="24"/>
          <w:szCs w:val="24"/>
        </w:rPr>
        <w:t xml:space="preserve">ationale de </w:t>
      </w:r>
      <w:r w:rsidR="009C7F78">
        <w:rPr>
          <w:rFonts w:ascii="Rockwell" w:hAnsi="Rockwell"/>
          <w:b/>
          <w:sz w:val="24"/>
          <w:szCs w:val="24"/>
        </w:rPr>
        <w:t>b</w:t>
      </w:r>
      <w:r w:rsidRPr="0061020E">
        <w:rPr>
          <w:rFonts w:ascii="Rockwell" w:hAnsi="Rockwell"/>
          <w:b/>
          <w:sz w:val="24"/>
          <w:szCs w:val="24"/>
        </w:rPr>
        <w:t>iosécurité (ANB)</w:t>
      </w:r>
    </w:p>
    <w:p w:rsidR="00D713DC" w:rsidRPr="0061020E" w:rsidRDefault="00D713DC" w:rsidP="008F6018">
      <w:pPr>
        <w:spacing w:after="120" w:line="240" w:lineRule="auto"/>
        <w:jc w:val="both"/>
        <w:rPr>
          <w:rFonts w:ascii="Rockwell" w:hAnsi="Rockwell"/>
          <w:sz w:val="24"/>
          <w:szCs w:val="24"/>
        </w:rPr>
      </w:pPr>
    </w:p>
    <w:p w:rsidR="00D713DC" w:rsidRPr="0061020E" w:rsidRDefault="00D713DC" w:rsidP="008F6018">
      <w:pPr>
        <w:spacing w:after="120" w:line="240" w:lineRule="auto"/>
        <w:jc w:val="both"/>
        <w:rPr>
          <w:rFonts w:ascii="Rockwell" w:hAnsi="Rockwell"/>
          <w:sz w:val="24"/>
          <w:szCs w:val="24"/>
        </w:rPr>
      </w:pPr>
      <w:r w:rsidRPr="0061020E">
        <w:rPr>
          <w:rFonts w:ascii="Rockwell" w:hAnsi="Rockwell"/>
          <w:sz w:val="24"/>
          <w:szCs w:val="24"/>
        </w:rPr>
        <w:t>L’agence a été créée en 2005 avec, entre autres missions, l’examen des demandes d’importation et de mise sur le marché d’OGM et de produits dérivés et les inspections et les audits techniques des structures faisant de la recherche sur les OGM.</w:t>
      </w:r>
    </w:p>
    <w:p w:rsidR="000379B7" w:rsidRPr="0061020E" w:rsidRDefault="000379B7" w:rsidP="008F6018">
      <w:pPr>
        <w:spacing w:after="120" w:line="240" w:lineRule="auto"/>
        <w:ind w:left="360"/>
        <w:jc w:val="center"/>
        <w:rPr>
          <w:rFonts w:ascii="Rockwell" w:hAnsi="Rockwell"/>
          <w:sz w:val="24"/>
          <w:szCs w:val="24"/>
        </w:rPr>
      </w:pPr>
    </w:p>
    <w:p w:rsidR="000379B7" w:rsidRPr="0061020E" w:rsidRDefault="000379B7"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 xml:space="preserve">La Direction </w:t>
      </w:r>
      <w:r w:rsidR="009C7F78">
        <w:rPr>
          <w:rFonts w:ascii="Rockwell" w:hAnsi="Rockwell"/>
          <w:b/>
          <w:sz w:val="24"/>
          <w:szCs w:val="24"/>
        </w:rPr>
        <w:t>g</w:t>
      </w:r>
      <w:r w:rsidRPr="0061020E">
        <w:rPr>
          <w:rFonts w:ascii="Rockwell" w:hAnsi="Rockwell"/>
          <w:b/>
          <w:sz w:val="24"/>
          <w:szCs w:val="24"/>
        </w:rPr>
        <w:t>énérale des services vétérinaires (DGSV)</w:t>
      </w:r>
    </w:p>
    <w:p w:rsidR="000379B7" w:rsidRPr="0061020E" w:rsidRDefault="000379B7" w:rsidP="008F6018">
      <w:pPr>
        <w:spacing w:after="120" w:line="240" w:lineRule="auto"/>
        <w:jc w:val="both"/>
        <w:rPr>
          <w:rFonts w:ascii="Rockwell" w:hAnsi="Rockwell"/>
          <w:sz w:val="24"/>
          <w:szCs w:val="24"/>
        </w:rPr>
      </w:pPr>
      <w:r w:rsidRPr="0061020E">
        <w:rPr>
          <w:rFonts w:ascii="Rockwell" w:hAnsi="Rockwell"/>
          <w:sz w:val="24"/>
          <w:szCs w:val="24"/>
        </w:rPr>
        <w:t>A la DGSV, suivant le décret n° 2006-411/PRES/PM/MRA – article 37, la</w:t>
      </w:r>
      <w:r w:rsidRPr="0061020E">
        <w:rPr>
          <w:rFonts w:ascii="Rockwell" w:hAnsi="Rockwell"/>
          <w:b/>
          <w:sz w:val="24"/>
          <w:szCs w:val="24"/>
        </w:rPr>
        <w:t xml:space="preserve"> Direction du L</w:t>
      </w:r>
      <w:r w:rsidR="003F3789">
        <w:rPr>
          <w:rFonts w:ascii="Rockwell" w:hAnsi="Rockwell"/>
          <w:b/>
          <w:sz w:val="24"/>
          <w:szCs w:val="24"/>
        </w:rPr>
        <w:t xml:space="preserve">aboratoire </w:t>
      </w:r>
      <w:r w:rsidR="009C7F78">
        <w:rPr>
          <w:rFonts w:ascii="Rockwell" w:hAnsi="Rockwell"/>
          <w:b/>
          <w:sz w:val="24"/>
          <w:szCs w:val="24"/>
        </w:rPr>
        <w:t>n</w:t>
      </w:r>
      <w:r w:rsidR="003F3789">
        <w:rPr>
          <w:rFonts w:ascii="Rockwell" w:hAnsi="Rockwell"/>
          <w:b/>
          <w:sz w:val="24"/>
          <w:szCs w:val="24"/>
        </w:rPr>
        <w:t>ational d’</w:t>
      </w:r>
      <w:r w:rsidR="009C7F78">
        <w:rPr>
          <w:rFonts w:ascii="Rockwell" w:hAnsi="Rockwell"/>
          <w:b/>
          <w:sz w:val="24"/>
          <w:szCs w:val="24"/>
        </w:rPr>
        <w:t>é</w:t>
      </w:r>
      <w:r w:rsidR="003F3789">
        <w:rPr>
          <w:rFonts w:ascii="Rockwell" w:hAnsi="Rockwell"/>
          <w:b/>
          <w:sz w:val="24"/>
          <w:szCs w:val="24"/>
        </w:rPr>
        <w:t xml:space="preserve">levage </w:t>
      </w:r>
      <w:r w:rsidR="009C7F78">
        <w:rPr>
          <w:rFonts w:ascii="Rockwell" w:hAnsi="Rockwell"/>
          <w:b/>
          <w:sz w:val="24"/>
          <w:szCs w:val="24"/>
        </w:rPr>
        <w:t>(</w:t>
      </w:r>
      <w:r w:rsidR="003F3789">
        <w:rPr>
          <w:rFonts w:ascii="Rockwell" w:hAnsi="Rockwell"/>
          <w:b/>
          <w:sz w:val="24"/>
          <w:szCs w:val="24"/>
        </w:rPr>
        <w:t>DLNE</w:t>
      </w:r>
      <w:r w:rsidR="009C7F78">
        <w:rPr>
          <w:rFonts w:ascii="Rockwell" w:hAnsi="Rockwell"/>
          <w:b/>
          <w:sz w:val="24"/>
          <w:szCs w:val="24"/>
        </w:rPr>
        <w:t>)</w:t>
      </w:r>
      <w:r w:rsidR="003F3789">
        <w:rPr>
          <w:rFonts w:ascii="Rockwell" w:hAnsi="Rockwell"/>
          <w:b/>
          <w:sz w:val="24"/>
          <w:szCs w:val="24"/>
        </w:rPr>
        <w:t xml:space="preserve"> </w:t>
      </w:r>
      <w:r w:rsidRPr="0061020E">
        <w:rPr>
          <w:rFonts w:ascii="Rockwell" w:hAnsi="Rockwell"/>
          <w:sz w:val="24"/>
          <w:szCs w:val="24"/>
        </w:rPr>
        <w:t>est chargée : (i) d’effectuer des examens, analyses et diagnostics de laboratoire, (ii) de participer à l’évaluation des campagnes de vaccination et de plans de lutte contre les différentes maladies animales, (iii) de produire et de contrôler la qualité des médicaments, des vaccins, et des produits biologiques à usage vétérinaire et (iv) de déterminer et de cont</w:t>
      </w:r>
      <w:r w:rsidR="009C7F78">
        <w:rPr>
          <w:rFonts w:ascii="Rockwell" w:hAnsi="Rockwell"/>
          <w:sz w:val="24"/>
          <w:szCs w:val="24"/>
        </w:rPr>
        <w:t>rôler la qualité des aliments du</w:t>
      </w:r>
      <w:r w:rsidRPr="0061020E">
        <w:rPr>
          <w:rFonts w:ascii="Rockwell" w:hAnsi="Rockwell"/>
          <w:sz w:val="24"/>
          <w:szCs w:val="24"/>
        </w:rPr>
        <w:t xml:space="preserve"> bétail.</w:t>
      </w:r>
    </w:p>
    <w:p w:rsidR="000379B7" w:rsidRPr="0061020E" w:rsidRDefault="000379B7" w:rsidP="008F6018">
      <w:pPr>
        <w:spacing w:after="120" w:line="240" w:lineRule="auto"/>
        <w:jc w:val="both"/>
        <w:rPr>
          <w:rFonts w:ascii="Rockwell" w:hAnsi="Rockwell"/>
          <w:sz w:val="24"/>
          <w:szCs w:val="24"/>
        </w:rPr>
      </w:pPr>
      <w:r w:rsidRPr="0061020E">
        <w:rPr>
          <w:rFonts w:ascii="Rockwell" w:hAnsi="Rockwell"/>
          <w:sz w:val="24"/>
          <w:szCs w:val="24"/>
        </w:rPr>
        <w:t xml:space="preserve">La </w:t>
      </w:r>
      <w:r w:rsidRPr="0061020E">
        <w:rPr>
          <w:rFonts w:ascii="Rockwell" w:hAnsi="Rockwell"/>
          <w:b/>
          <w:sz w:val="24"/>
          <w:szCs w:val="24"/>
        </w:rPr>
        <w:t xml:space="preserve">Direction de la </w:t>
      </w:r>
      <w:r w:rsidR="009C7F78">
        <w:rPr>
          <w:rFonts w:ascii="Rockwell" w:hAnsi="Rockwell"/>
          <w:b/>
          <w:sz w:val="24"/>
          <w:szCs w:val="24"/>
        </w:rPr>
        <w:t>s</w:t>
      </w:r>
      <w:r w:rsidRPr="0061020E">
        <w:rPr>
          <w:rFonts w:ascii="Rockwell" w:hAnsi="Rockwell"/>
          <w:b/>
          <w:sz w:val="24"/>
          <w:szCs w:val="24"/>
        </w:rPr>
        <w:t xml:space="preserve">anté </w:t>
      </w:r>
      <w:r w:rsidR="009C7F78">
        <w:rPr>
          <w:rFonts w:ascii="Rockwell" w:hAnsi="Rockwell"/>
          <w:b/>
          <w:sz w:val="24"/>
          <w:szCs w:val="24"/>
        </w:rPr>
        <w:t>a</w:t>
      </w:r>
      <w:r w:rsidRPr="0061020E">
        <w:rPr>
          <w:rFonts w:ascii="Rockwell" w:hAnsi="Rockwell"/>
          <w:b/>
          <w:sz w:val="24"/>
          <w:szCs w:val="24"/>
        </w:rPr>
        <w:t>nimale – DSA</w:t>
      </w:r>
      <w:r w:rsidRPr="0061020E">
        <w:rPr>
          <w:rFonts w:ascii="Rockwell" w:hAnsi="Rockwell"/>
          <w:sz w:val="24"/>
          <w:szCs w:val="24"/>
        </w:rPr>
        <w:t xml:space="preserve"> - assure pour sa part</w:t>
      </w:r>
      <w:r w:rsidR="009C7F78">
        <w:rPr>
          <w:rFonts w:ascii="Rockwell" w:hAnsi="Rockwell"/>
          <w:sz w:val="24"/>
          <w:szCs w:val="24"/>
        </w:rPr>
        <w:t>,</w:t>
      </w:r>
      <w:r w:rsidRPr="0061020E">
        <w:rPr>
          <w:rFonts w:ascii="Rockwell" w:hAnsi="Rockwell"/>
          <w:sz w:val="24"/>
          <w:szCs w:val="24"/>
        </w:rPr>
        <w:t xml:space="preserve"> l’inspection vétérinaire aux frontières</w:t>
      </w:r>
    </w:p>
    <w:p w:rsidR="003F3789" w:rsidRDefault="003F3789" w:rsidP="008F6018">
      <w:pPr>
        <w:spacing w:after="120" w:line="240" w:lineRule="auto"/>
        <w:rPr>
          <w:rFonts w:ascii="Rockwell" w:hAnsi="Rockwell"/>
          <w:sz w:val="24"/>
          <w:szCs w:val="24"/>
        </w:rPr>
      </w:pPr>
    </w:p>
    <w:p w:rsidR="000379B7" w:rsidRPr="0061020E" w:rsidRDefault="003E57B8" w:rsidP="008F6018">
      <w:pPr>
        <w:pStyle w:val="Paragraphedeliste"/>
        <w:numPr>
          <w:ilvl w:val="0"/>
          <w:numId w:val="78"/>
        </w:numPr>
        <w:spacing w:after="120" w:line="240" w:lineRule="auto"/>
        <w:jc w:val="both"/>
        <w:rPr>
          <w:rFonts w:ascii="Rockwell" w:hAnsi="Rockwell"/>
          <w:b/>
          <w:sz w:val="24"/>
          <w:szCs w:val="24"/>
        </w:rPr>
      </w:pPr>
      <w:r w:rsidRPr="0061020E">
        <w:rPr>
          <w:rFonts w:ascii="Rockwell" w:hAnsi="Rockwell"/>
          <w:b/>
          <w:sz w:val="24"/>
          <w:szCs w:val="24"/>
        </w:rPr>
        <w:t xml:space="preserve">La Direction </w:t>
      </w:r>
      <w:r w:rsidR="00862572">
        <w:rPr>
          <w:rFonts w:ascii="Rockwell" w:hAnsi="Rockwell"/>
          <w:b/>
          <w:sz w:val="24"/>
          <w:szCs w:val="24"/>
        </w:rPr>
        <w:t>g</w:t>
      </w:r>
      <w:r w:rsidRPr="0061020E">
        <w:rPr>
          <w:rFonts w:ascii="Rockwell" w:hAnsi="Rockwell"/>
          <w:b/>
          <w:sz w:val="24"/>
          <w:szCs w:val="24"/>
        </w:rPr>
        <w:t xml:space="preserve">énérale des </w:t>
      </w:r>
      <w:r w:rsidR="00862572">
        <w:rPr>
          <w:rFonts w:ascii="Rockwell" w:hAnsi="Rockwell"/>
          <w:b/>
          <w:sz w:val="24"/>
          <w:szCs w:val="24"/>
        </w:rPr>
        <w:t>p</w:t>
      </w:r>
      <w:r w:rsidRPr="0061020E">
        <w:rPr>
          <w:rFonts w:ascii="Rockwell" w:hAnsi="Rockwell"/>
          <w:b/>
          <w:sz w:val="24"/>
          <w:szCs w:val="24"/>
        </w:rPr>
        <w:t xml:space="preserve">roduction </w:t>
      </w:r>
      <w:r w:rsidR="00862572">
        <w:rPr>
          <w:rFonts w:ascii="Rockwell" w:hAnsi="Rockwell"/>
          <w:b/>
          <w:sz w:val="24"/>
          <w:szCs w:val="24"/>
        </w:rPr>
        <w:t>v</w:t>
      </w:r>
      <w:r w:rsidRPr="0061020E">
        <w:rPr>
          <w:rFonts w:ascii="Rockwell" w:hAnsi="Rockwell"/>
          <w:b/>
          <w:sz w:val="24"/>
          <w:szCs w:val="24"/>
        </w:rPr>
        <w:t>égétales (DGPV)</w:t>
      </w:r>
    </w:p>
    <w:p w:rsidR="003E57B8" w:rsidRPr="0061020E" w:rsidRDefault="003E57B8" w:rsidP="008F6018">
      <w:pPr>
        <w:spacing w:after="120" w:line="240" w:lineRule="auto"/>
        <w:jc w:val="both"/>
        <w:rPr>
          <w:rFonts w:ascii="Rockwell" w:hAnsi="Rockwell"/>
          <w:sz w:val="24"/>
          <w:szCs w:val="24"/>
        </w:rPr>
      </w:pPr>
      <w:r w:rsidRPr="0061020E">
        <w:rPr>
          <w:rFonts w:ascii="Rockwell" w:hAnsi="Rockwell"/>
          <w:b/>
          <w:sz w:val="24"/>
          <w:szCs w:val="24"/>
        </w:rPr>
        <w:t>Au sein de la DGPV</w:t>
      </w:r>
      <w:r w:rsidRPr="0061020E">
        <w:rPr>
          <w:rFonts w:ascii="Rockwell" w:hAnsi="Rockwell"/>
          <w:sz w:val="24"/>
          <w:szCs w:val="24"/>
        </w:rPr>
        <w:t xml:space="preserve">, une des principales missions de </w:t>
      </w:r>
      <w:r w:rsidRPr="0061020E">
        <w:rPr>
          <w:rFonts w:ascii="Rockwell" w:hAnsi="Rockwell"/>
          <w:b/>
          <w:sz w:val="24"/>
          <w:szCs w:val="24"/>
        </w:rPr>
        <w:t>la DPV</w:t>
      </w:r>
      <w:r w:rsidRPr="0061020E">
        <w:rPr>
          <w:rFonts w:ascii="Rockwell" w:hAnsi="Rockwell"/>
          <w:sz w:val="24"/>
          <w:szCs w:val="24"/>
        </w:rPr>
        <w:t xml:space="preserve"> est d’assurer le contrôle des végétaux, des produits végétaux, des produits alimentaires et des pesticides. Pour ce faire, elle dispose d’un </w:t>
      </w:r>
      <w:r w:rsidRPr="0061020E">
        <w:rPr>
          <w:rFonts w:ascii="Rockwell" w:hAnsi="Rockwell"/>
          <w:b/>
          <w:sz w:val="24"/>
          <w:szCs w:val="24"/>
        </w:rPr>
        <w:t>Service du contrôle phytosanitaire et de la qualité (SCPQ)</w:t>
      </w:r>
      <w:r w:rsidRPr="0061020E">
        <w:rPr>
          <w:rFonts w:ascii="Rockwell" w:hAnsi="Rockwell"/>
          <w:sz w:val="24"/>
          <w:szCs w:val="24"/>
        </w:rPr>
        <w:t xml:space="preserve"> qui assure le contrôle phytosanitaire, le contrôle de la qualité des produits ; et d’un </w:t>
      </w:r>
      <w:r w:rsidRPr="0061020E">
        <w:rPr>
          <w:rFonts w:ascii="Rockwell" w:hAnsi="Rockwell"/>
          <w:b/>
          <w:sz w:val="24"/>
          <w:szCs w:val="24"/>
        </w:rPr>
        <w:t xml:space="preserve">Service des pesticides (SP) </w:t>
      </w:r>
      <w:r w:rsidRPr="0061020E">
        <w:rPr>
          <w:rFonts w:ascii="Rockwell" w:hAnsi="Rockwell"/>
          <w:sz w:val="24"/>
          <w:szCs w:val="24"/>
        </w:rPr>
        <w:t>qui assure entre autre</w:t>
      </w:r>
      <w:r w:rsidR="00862572">
        <w:rPr>
          <w:rFonts w:ascii="Rockwell" w:hAnsi="Rockwell"/>
          <w:sz w:val="24"/>
          <w:szCs w:val="24"/>
        </w:rPr>
        <w:t>s</w:t>
      </w:r>
      <w:r w:rsidRPr="0061020E">
        <w:rPr>
          <w:rFonts w:ascii="Rockwell" w:hAnsi="Rockwell"/>
          <w:sz w:val="24"/>
          <w:szCs w:val="24"/>
        </w:rPr>
        <w:t>, le contrôle des pesticides.</w:t>
      </w:r>
    </w:p>
    <w:p w:rsidR="003E57B8" w:rsidRPr="0061020E" w:rsidRDefault="003E57B8" w:rsidP="008F6018">
      <w:pPr>
        <w:spacing w:after="120" w:line="240" w:lineRule="auto"/>
        <w:jc w:val="both"/>
        <w:rPr>
          <w:rFonts w:ascii="Rockwell" w:hAnsi="Rockwell"/>
          <w:sz w:val="24"/>
          <w:szCs w:val="24"/>
        </w:rPr>
      </w:pPr>
      <w:r w:rsidRPr="0061020E">
        <w:rPr>
          <w:rFonts w:ascii="Rockwell" w:hAnsi="Rockwell"/>
          <w:sz w:val="24"/>
          <w:szCs w:val="24"/>
        </w:rPr>
        <w:t xml:space="preserve">Le contrôle phytosanitaire concerne tous les végétaux et produits végétaux susceptibles de véhiculer des substances nuisibles aux végétaux et produits végétaux. Le contrôle de la qualité concerne tous les produits agricoles et alimentaires pour s’assurer qu’ils sont conformes aux normes en vigueur. </w:t>
      </w:r>
    </w:p>
    <w:p w:rsidR="000379B7" w:rsidRPr="0061020E" w:rsidRDefault="003E57B8" w:rsidP="008F6018">
      <w:pPr>
        <w:spacing w:after="120" w:line="240" w:lineRule="auto"/>
        <w:jc w:val="both"/>
        <w:rPr>
          <w:rFonts w:ascii="Rockwell" w:hAnsi="Rockwell"/>
          <w:sz w:val="24"/>
          <w:szCs w:val="24"/>
        </w:rPr>
      </w:pPr>
      <w:r w:rsidRPr="0061020E">
        <w:rPr>
          <w:rFonts w:ascii="Rockwell" w:hAnsi="Rockwell"/>
          <w:sz w:val="24"/>
          <w:szCs w:val="24"/>
        </w:rPr>
        <w:lastRenderedPageBreak/>
        <w:t>Sous l’autorité de la DGPV, il est aussi prévu des laboratoires d’analyses et des postes de contrôle phytosanitaire, des pesticides et de la qualité des produits agricoles et agro-alimentaires situés aux frontières</w:t>
      </w:r>
      <w:r w:rsidR="00862572">
        <w:rPr>
          <w:rFonts w:ascii="Rockwell" w:hAnsi="Rockwell"/>
          <w:sz w:val="24"/>
          <w:szCs w:val="24"/>
        </w:rPr>
        <w:t>,</w:t>
      </w:r>
      <w:r w:rsidRPr="0061020E">
        <w:rPr>
          <w:rFonts w:ascii="Rockwell" w:hAnsi="Rockwell"/>
          <w:sz w:val="24"/>
          <w:szCs w:val="24"/>
        </w:rPr>
        <w:t xml:space="preserve"> aérogares et gares ferroviaires. Les laboratoires ne sont pas fonctionnels, mais il existe de nos jours</w:t>
      </w:r>
      <w:r w:rsidR="00862572">
        <w:rPr>
          <w:rFonts w:ascii="Rockwell" w:hAnsi="Rockwell"/>
          <w:sz w:val="24"/>
          <w:szCs w:val="24"/>
        </w:rPr>
        <w:t>,</w:t>
      </w:r>
      <w:r w:rsidRPr="0061020E">
        <w:rPr>
          <w:rFonts w:ascii="Rockwell" w:hAnsi="Rockwell"/>
          <w:sz w:val="24"/>
          <w:szCs w:val="24"/>
        </w:rPr>
        <w:t xml:space="preserve"> </w:t>
      </w:r>
      <w:r w:rsidR="006976C6" w:rsidRPr="0061020E">
        <w:rPr>
          <w:rFonts w:ascii="Rockwell" w:hAnsi="Rockwell"/>
          <w:sz w:val="24"/>
          <w:szCs w:val="24"/>
        </w:rPr>
        <w:t>dix-huit</w:t>
      </w:r>
      <w:r w:rsidRPr="0061020E">
        <w:rPr>
          <w:rFonts w:ascii="Rockwell" w:hAnsi="Rockwell"/>
          <w:sz w:val="24"/>
          <w:szCs w:val="24"/>
        </w:rPr>
        <w:t xml:space="preserve"> (18) postes de contrôle fonctionnels sur l’ensemble du territoire national</w:t>
      </w:r>
      <w:r w:rsidR="00C54440" w:rsidRPr="0061020E">
        <w:rPr>
          <w:rFonts w:ascii="Rockwell" w:hAnsi="Rockwell"/>
          <w:sz w:val="24"/>
          <w:szCs w:val="24"/>
        </w:rPr>
        <w:t>.</w:t>
      </w:r>
    </w:p>
    <w:p w:rsidR="006976C6" w:rsidRPr="0061020E" w:rsidRDefault="006976C6" w:rsidP="008F6018">
      <w:pPr>
        <w:spacing w:after="120" w:line="240" w:lineRule="auto"/>
        <w:jc w:val="both"/>
        <w:rPr>
          <w:rFonts w:ascii="Rockwell" w:hAnsi="Rockwell"/>
          <w:sz w:val="24"/>
          <w:szCs w:val="24"/>
        </w:rPr>
      </w:pPr>
    </w:p>
    <w:p w:rsidR="006976C6" w:rsidRDefault="006976C6" w:rsidP="008F6018">
      <w:pPr>
        <w:spacing w:after="120" w:line="240" w:lineRule="auto"/>
        <w:jc w:val="both"/>
        <w:rPr>
          <w:rFonts w:ascii="Rockwell" w:hAnsi="Rockwell"/>
          <w:i/>
          <w:sz w:val="24"/>
          <w:szCs w:val="24"/>
        </w:rPr>
      </w:pPr>
      <w:r w:rsidRPr="0061020E">
        <w:rPr>
          <w:rFonts w:ascii="Rockwell" w:hAnsi="Rockwell"/>
          <w:i/>
          <w:sz w:val="24"/>
          <w:szCs w:val="24"/>
        </w:rPr>
        <w:t xml:space="preserve">Tableau 1 : Les laboratoires publics, </w:t>
      </w:r>
      <w:r w:rsidR="00196FAC">
        <w:rPr>
          <w:rFonts w:ascii="Rockwell" w:hAnsi="Rockwell"/>
          <w:i/>
          <w:sz w:val="24"/>
          <w:szCs w:val="24"/>
        </w:rPr>
        <w:t>dans la</w:t>
      </w:r>
      <w:r w:rsidRPr="0061020E">
        <w:rPr>
          <w:rFonts w:ascii="Rockwell" w:hAnsi="Rockwell"/>
          <w:i/>
          <w:sz w:val="24"/>
          <w:szCs w:val="24"/>
        </w:rPr>
        <w:t xml:space="preserve"> Politique nationale qualité</w:t>
      </w:r>
    </w:p>
    <w:p w:rsidR="004E59DD" w:rsidRPr="0061020E" w:rsidRDefault="004E59DD" w:rsidP="008F6018">
      <w:pPr>
        <w:spacing w:after="120" w:line="240" w:lineRule="auto"/>
        <w:jc w:val="both"/>
        <w:rPr>
          <w:rFonts w:ascii="Rockwell" w:hAnsi="Rockwell"/>
          <w: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2935"/>
        <w:gridCol w:w="3706"/>
      </w:tblGrid>
      <w:tr w:rsidR="00710760" w:rsidRPr="006847BA" w:rsidTr="00710760">
        <w:trPr>
          <w:tblHeader/>
        </w:trPr>
        <w:tc>
          <w:tcPr>
            <w:tcW w:w="4606" w:type="dxa"/>
            <w:vAlign w:val="center"/>
          </w:tcPr>
          <w:p w:rsidR="006976C6" w:rsidRPr="0061020E" w:rsidRDefault="006976C6" w:rsidP="0057765F">
            <w:pPr>
              <w:spacing w:after="120" w:line="240" w:lineRule="auto"/>
              <w:jc w:val="center"/>
              <w:rPr>
                <w:rFonts w:ascii="Rockwell" w:hAnsi="Rockwell"/>
                <w:b/>
                <w:sz w:val="24"/>
                <w:szCs w:val="24"/>
              </w:rPr>
            </w:pPr>
            <w:r w:rsidRPr="0061020E">
              <w:rPr>
                <w:rFonts w:ascii="Rockwell" w:hAnsi="Rockwell"/>
                <w:b/>
                <w:sz w:val="24"/>
                <w:szCs w:val="24"/>
              </w:rPr>
              <w:t>Dénomination du laboratoire</w:t>
            </w:r>
          </w:p>
        </w:tc>
        <w:tc>
          <w:tcPr>
            <w:tcW w:w="4606" w:type="dxa"/>
            <w:vAlign w:val="center"/>
          </w:tcPr>
          <w:p w:rsidR="006976C6" w:rsidRPr="0061020E" w:rsidRDefault="006976C6" w:rsidP="0057765F">
            <w:pPr>
              <w:spacing w:after="120" w:line="240" w:lineRule="auto"/>
              <w:jc w:val="center"/>
              <w:rPr>
                <w:rFonts w:ascii="Rockwell" w:hAnsi="Rockwell"/>
                <w:b/>
                <w:sz w:val="24"/>
                <w:szCs w:val="24"/>
              </w:rPr>
            </w:pPr>
            <w:r w:rsidRPr="0061020E">
              <w:rPr>
                <w:rFonts w:ascii="Rockwell" w:hAnsi="Rockwell"/>
                <w:b/>
                <w:sz w:val="24"/>
                <w:szCs w:val="24"/>
              </w:rPr>
              <w:t>Tutelle administrative</w:t>
            </w:r>
          </w:p>
        </w:tc>
        <w:tc>
          <w:tcPr>
            <w:tcW w:w="4606" w:type="dxa"/>
            <w:vAlign w:val="center"/>
          </w:tcPr>
          <w:p w:rsidR="006976C6" w:rsidRPr="0061020E" w:rsidRDefault="006976C6" w:rsidP="0057765F">
            <w:pPr>
              <w:spacing w:after="120" w:line="240" w:lineRule="auto"/>
              <w:jc w:val="center"/>
              <w:rPr>
                <w:rFonts w:ascii="Rockwell" w:hAnsi="Rockwell"/>
                <w:b/>
                <w:sz w:val="24"/>
                <w:szCs w:val="24"/>
              </w:rPr>
            </w:pPr>
            <w:r w:rsidRPr="0061020E">
              <w:rPr>
                <w:rFonts w:ascii="Rockwell" w:hAnsi="Rockwell"/>
                <w:b/>
                <w:sz w:val="24"/>
                <w:szCs w:val="24"/>
              </w:rPr>
              <w:t>Types d’analyses et/ou d’essais effectués</w:t>
            </w:r>
          </w:p>
        </w:tc>
      </w:tr>
      <w:tr w:rsidR="00710760" w:rsidRPr="006847BA" w:rsidTr="0057765F">
        <w:trPr>
          <w:trHeight w:val="3112"/>
        </w:trPr>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Laboratoire national de santé publique (LNSP)</w:t>
            </w:r>
          </w:p>
          <w:p w:rsidR="006976C6" w:rsidRPr="0061020E" w:rsidRDefault="006976C6" w:rsidP="008F6018">
            <w:pPr>
              <w:spacing w:after="120" w:line="240" w:lineRule="auto"/>
              <w:jc w:val="both"/>
              <w:rPr>
                <w:rFonts w:ascii="Rockwell" w:hAnsi="Rockwell"/>
                <w:i/>
                <w:sz w:val="24"/>
                <w:szCs w:val="24"/>
              </w:rPr>
            </w:pPr>
            <w:r w:rsidRPr="0061020E">
              <w:rPr>
                <w:rFonts w:ascii="Rockwell" w:hAnsi="Rockwell"/>
                <w:i/>
                <w:sz w:val="24"/>
                <w:szCs w:val="24"/>
              </w:rPr>
              <w:t>Etablissement public à caractère administratif</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Tutelle technique : Ministère de la santé – MS </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Tutelle financière: Ministère de l’économie et des finances - MEF </w:t>
            </w:r>
          </w:p>
          <w:p w:rsidR="006976C6" w:rsidRPr="0061020E" w:rsidRDefault="006976C6" w:rsidP="0057765F">
            <w:pPr>
              <w:spacing w:after="120" w:line="240" w:lineRule="auto"/>
              <w:jc w:val="both"/>
              <w:rPr>
                <w:rFonts w:ascii="Rockwell" w:hAnsi="Rockwell"/>
                <w:sz w:val="24"/>
                <w:szCs w:val="24"/>
              </w:rPr>
            </w:pPr>
            <w:r w:rsidRPr="0061020E">
              <w:rPr>
                <w:rFonts w:ascii="Rockwell" w:hAnsi="Rockwell"/>
                <w:sz w:val="24"/>
                <w:szCs w:val="24"/>
              </w:rPr>
              <w:t>NB : conduit des analyses pour la DGPV/MAH</w:t>
            </w:r>
          </w:p>
        </w:tc>
        <w:tc>
          <w:tcPr>
            <w:tcW w:w="4606" w:type="dxa"/>
          </w:tcPr>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Microbiologiques (AM)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Physico-chimiques (APC)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Toxicologiques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Dans le domaine de la biologie médicale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Pharmaco-techniques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Tout autre domaine en rapport avec la santé publique et la sécurité sanitaire</w:t>
            </w:r>
          </w:p>
        </w:tc>
      </w:tr>
      <w:tr w:rsidR="00710760" w:rsidRPr="006847BA" w:rsidTr="00AE7B40">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 xml:space="preserve">Laboratoire </w:t>
            </w:r>
            <w:r w:rsidR="00862572">
              <w:rPr>
                <w:rFonts w:ascii="Rockwell" w:hAnsi="Rockwell"/>
                <w:b/>
                <w:sz w:val="24"/>
                <w:szCs w:val="24"/>
              </w:rPr>
              <w:t>n</w:t>
            </w:r>
            <w:r w:rsidRPr="0061020E">
              <w:rPr>
                <w:rFonts w:ascii="Rockwell" w:hAnsi="Rockwell"/>
                <w:b/>
                <w:sz w:val="24"/>
                <w:szCs w:val="24"/>
              </w:rPr>
              <w:t>ational d’</w:t>
            </w:r>
            <w:r w:rsidR="00862572">
              <w:rPr>
                <w:rFonts w:ascii="Rockwell" w:hAnsi="Rockwell"/>
                <w:b/>
                <w:sz w:val="24"/>
                <w:szCs w:val="24"/>
              </w:rPr>
              <w:t>é</w:t>
            </w:r>
            <w:r w:rsidRPr="0061020E">
              <w:rPr>
                <w:rFonts w:ascii="Rockwell" w:hAnsi="Rockwell"/>
                <w:b/>
                <w:sz w:val="24"/>
                <w:szCs w:val="24"/>
              </w:rPr>
              <w:t>levage (LNE)</w:t>
            </w:r>
          </w:p>
          <w:p w:rsidR="006976C6" w:rsidRPr="0061020E" w:rsidRDefault="006976C6" w:rsidP="008F6018">
            <w:pPr>
              <w:spacing w:after="120" w:line="240" w:lineRule="auto"/>
              <w:jc w:val="both"/>
              <w:rPr>
                <w:rFonts w:ascii="Rockwell" w:hAnsi="Rockwell"/>
                <w:sz w:val="24"/>
                <w:szCs w:val="24"/>
              </w:rPr>
            </w:pP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Ministère des </w:t>
            </w:r>
            <w:r w:rsidR="00862572">
              <w:rPr>
                <w:rFonts w:ascii="Rockwell" w:hAnsi="Rockwell"/>
                <w:sz w:val="24"/>
                <w:szCs w:val="24"/>
              </w:rPr>
              <w:t>r</w:t>
            </w:r>
            <w:r w:rsidRPr="0061020E">
              <w:rPr>
                <w:rFonts w:ascii="Rockwell" w:hAnsi="Rockwell"/>
                <w:sz w:val="24"/>
                <w:szCs w:val="24"/>
              </w:rPr>
              <w:t xml:space="preserve">essources </w:t>
            </w:r>
            <w:r w:rsidR="00862572">
              <w:rPr>
                <w:rFonts w:ascii="Rockwell" w:hAnsi="Rockwell"/>
                <w:sz w:val="24"/>
                <w:szCs w:val="24"/>
              </w:rPr>
              <w:t>a</w:t>
            </w:r>
            <w:r w:rsidRPr="0061020E">
              <w:rPr>
                <w:rFonts w:ascii="Rockwell" w:hAnsi="Rockwell"/>
                <w:sz w:val="24"/>
                <w:szCs w:val="24"/>
              </w:rPr>
              <w:t>nimales –MRA</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Direction </w:t>
            </w:r>
            <w:r w:rsidR="00862572">
              <w:rPr>
                <w:rFonts w:ascii="Rockwell" w:hAnsi="Rockwell"/>
                <w:sz w:val="24"/>
                <w:szCs w:val="24"/>
              </w:rPr>
              <w:t>g</w:t>
            </w:r>
            <w:r w:rsidRPr="0061020E">
              <w:rPr>
                <w:rFonts w:ascii="Rockwell" w:hAnsi="Rockwell"/>
                <w:sz w:val="24"/>
                <w:szCs w:val="24"/>
              </w:rPr>
              <w:t xml:space="preserve">énérale des </w:t>
            </w:r>
            <w:r w:rsidR="00862572">
              <w:rPr>
                <w:rFonts w:ascii="Rockwell" w:hAnsi="Rockwell"/>
                <w:sz w:val="24"/>
                <w:szCs w:val="24"/>
              </w:rPr>
              <w:t>s</w:t>
            </w:r>
            <w:r w:rsidRPr="0061020E">
              <w:rPr>
                <w:rFonts w:ascii="Rockwell" w:hAnsi="Rockwell"/>
                <w:sz w:val="24"/>
                <w:szCs w:val="24"/>
              </w:rPr>
              <w:t xml:space="preserve">ervices </w:t>
            </w:r>
            <w:r w:rsidR="00862572">
              <w:rPr>
                <w:rFonts w:ascii="Rockwell" w:hAnsi="Rockwell"/>
                <w:sz w:val="24"/>
                <w:szCs w:val="24"/>
              </w:rPr>
              <w:t>v</w:t>
            </w:r>
            <w:r w:rsidRPr="0061020E">
              <w:rPr>
                <w:rFonts w:ascii="Rockwell" w:hAnsi="Rockwell"/>
                <w:sz w:val="24"/>
                <w:szCs w:val="24"/>
              </w:rPr>
              <w:t xml:space="preserve">étérinaires </w:t>
            </w:r>
          </w:p>
          <w:p w:rsidR="006976C6" w:rsidRPr="0061020E" w:rsidRDefault="006976C6" w:rsidP="008F6018">
            <w:pPr>
              <w:spacing w:after="120" w:line="240" w:lineRule="auto"/>
              <w:jc w:val="both"/>
              <w:rPr>
                <w:rFonts w:ascii="Rockwell" w:hAnsi="Rockwell"/>
                <w:sz w:val="24"/>
                <w:szCs w:val="24"/>
              </w:rPr>
            </w:pPr>
          </w:p>
        </w:tc>
        <w:tc>
          <w:tcPr>
            <w:tcW w:w="4606" w:type="dxa"/>
          </w:tcPr>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AM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Vétérinaires (AV) ;</w:t>
            </w:r>
          </w:p>
          <w:p w:rsidR="006976C6" w:rsidRPr="0061020E" w:rsidRDefault="006976C6" w:rsidP="008F6018">
            <w:pPr>
              <w:spacing w:after="120" w:line="240" w:lineRule="auto"/>
              <w:ind w:left="360"/>
              <w:jc w:val="both"/>
              <w:rPr>
                <w:rFonts w:ascii="Rockwell" w:hAnsi="Rockwell"/>
                <w:sz w:val="24"/>
                <w:szCs w:val="24"/>
              </w:rPr>
            </w:pPr>
            <w:r w:rsidRPr="0061020E">
              <w:rPr>
                <w:rFonts w:ascii="Rockwell" w:hAnsi="Rockwell"/>
                <w:sz w:val="24"/>
                <w:szCs w:val="24"/>
              </w:rPr>
              <w:t>Dans le domaine de :</w:t>
            </w:r>
          </w:p>
          <w:p w:rsidR="006976C6" w:rsidRPr="0061020E" w:rsidRDefault="006976C6" w:rsidP="008F6018">
            <w:pPr>
              <w:spacing w:after="120" w:line="240" w:lineRule="auto"/>
              <w:ind w:left="360"/>
              <w:jc w:val="both"/>
              <w:rPr>
                <w:rFonts w:ascii="Rockwell" w:hAnsi="Rockwell"/>
                <w:sz w:val="24"/>
                <w:szCs w:val="24"/>
              </w:rPr>
            </w:pPr>
            <w:r w:rsidRPr="0061020E">
              <w:rPr>
                <w:rFonts w:ascii="Rockwell" w:hAnsi="Rockwell"/>
                <w:sz w:val="24"/>
                <w:szCs w:val="24"/>
              </w:rPr>
              <w:t>- la virologie ;</w:t>
            </w:r>
          </w:p>
          <w:p w:rsidR="006976C6" w:rsidRPr="0061020E" w:rsidRDefault="006976C6" w:rsidP="008F6018">
            <w:pPr>
              <w:spacing w:after="120" w:line="240" w:lineRule="auto"/>
              <w:ind w:left="360"/>
              <w:jc w:val="both"/>
              <w:rPr>
                <w:rFonts w:ascii="Rockwell" w:hAnsi="Rockwell"/>
                <w:sz w:val="24"/>
                <w:szCs w:val="24"/>
              </w:rPr>
            </w:pPr>
            <w:r w:rsidRPr="0061020E">
              <w:rPr>
                <w:rFonts w:ascii="Rockwell" w:hAnsi="Rockwell"/>
                <w:sz w:val="24"/>
                <w:szCs w:val="24"/>
              </w:rPr>
              <w:t>- la parasitologie ;</w:t>
            </w:r>
          </w:p>
          <w:p w:rsidR="006976C6" w:rsidRPr="0061020E" w:rsidRDefault="006976C6" w:rsidP="008F6018">
            <w:pPr>
              <w:spacing w:after="120" w:line="240" w:lineRule="auto"/>
              <w:ind w:left="360"/>
              <w:jc w:val="both"/>
              <w:rPr>
                <w:rFonts w:ascii="Rockwell" w:hAnsi="Rockwell"/>
                <w:sz w:val="24"/>
                <w:szCs w:val="24"/>
              </w:rPr>
            </w:pPr>
            <w:r w:rsidRPr="0061020E">
              <w:rPr>
                <w:rFonts w:ascii="Rockwell" w:hAnsi="Rockwell"/>
                <w:sz w:val="24"/>
                <w:szCs w:val="24"/>
              </w:rPr>
              <w:t>- la bactériologie ;</w:t>
            </w:r>
          </w:p>
          <w:p w:rsidR="006976C6" w:rsidRPr="0061020E" w:rsidRDefault="006976C6" w:rsidP="008F6018">
            <w:pPr>
              <w:spacing w:after="120" w:line="240" w:lineRule="auto"/>
              <w:ind w:left="360"/>
              <w:jc w:val="both"/>
              <w:rPr>
                <w:rFonts w:ascii="Rockwell" w:hAnsi="Rockwell"/>
                <w:sz w:val="24"/>
                <w:szCs w:val="24"/>
              </w:rPr>
            </w:pPr>
            <w:r w:rsidRPr="0061020E">
              <w:rPr>
                <w:rFonts w:ascii="Rockwell" w:hAnsi="Rockwell"/>
                <w:sz w:val="24"/>
                <w:szCs w:val="24"/>
              </w:rPr>
              <w:t>- la biochimie.</w:t>
            </w:r>
          </w:p>
        </w:tc>
      </w:tr>
      <w:tr w:rsidR="00710760" w:rsidRPr="006847BA" w:rsidTr="00AE7B40">
        <w:tc>
          <w:tcPr>
            <w:tcW w:w="4606" w:type="dxa"/>
          </w:tcPr>
          <w:p w:rsidR="006976C6" w:rsidRPr="0061020E" w:rsidRDefault="006976C6" w:rsidP="00862572">
            <w:pPr>
              <w:spacing w:after="120" w:line="240" w:lineRule="auto"/>
              <w:jc w:val="both"/>
              <w:rPr>
                <w:rFonts w:ascii="Rockwell" w:hAnsi="Rockwell"/>
                <w:sz w:val="24"/>
                <w:szCs w:val="24"/>
              </w:rPr>
            </w:pPr>
            <w:r w:rsidRPr="0061020E">
              <w:rPr>
                <w:rFonts w:ascii="Rockwell" w:hAnsi="Rockwell"/>
                <w:b/>
                <w:sz w:val="24"/>
                <w:szCs w:val="24"/>
              </w:rPr>
              <w:t xml:space="preserve">Laboratoire de la Direction </w:t>
            </w:r>
            <w:r w:rsidR="00862572">
              <w:rPr>
                <w:rFonts w:ascii="Rockwell" w:hAnsi="Rockwell"/>
                <w:b/>
                <w:sz w:val="24"/>
                <w:szCs w:val="24"/>
              </w:rPr>
              <w:t>g</w:t>
            </w:r>
            <w:r w:rsidRPr="0061020E">
              <w:rPr>
                <w:rFonts w:ascii="Rockwell" w:hAnsi="Rockwell"/>
                <w:b/>
                <w:sz w:val="24"/>
                <w:szCs w:val="24"/>
              </w:rPr>
              <w:t xml:space="preserve">énérale de la </w:t>
            </w:r>
            <w:r w:rsidR="00862572">
              <w:rPr>
                <w:rFonts w:ascii="Rockwell" w:hAnsi="Rockwell"/>
                <w:b/>
                <w:sz w:val="24"/>
                <w:szCs w:val="24"/>
              </w:rPr>
              <w:t>q</w:t>
            </w:r>
            <w:r w:rsidRPr="0061020E">
              <w:rPr>
                <w:rFonts w:ascii="Rockwell" w:hAnsi="Rockwell"/>
                <w:b/>
                <w:sz w:val="24"/>
                <w:szCs w:val="24"/>
              </w:rPr>
              <w:t xml:space="preserve">ualité et de la </w:t>
            </w:r>
            <w:r w:rsidR="00862572">
              <w:rPr>
                <w:rFonts w:ascii="Rockwell" w:hAnsi="Rockwell"/>
                <w:b/>
                <w:sz w:val="24"/>
                <w:szCs w:val="24"/>
              </w:rPr>
              <w:t>m</w:t>
            </w:r>
            <w:r w:rsidRPr="0061020E">
              <w:rPr>
                <w:rFonts w:ascii="Rockwell" w:hAnsi="Rockwell"/>
                <w:b/>
                <w:sz w:val="24"/>
                <w:szCs w:val="24"/>
              </w:rPr>
              <w:t xml:space="preserve">étrologie </w:t>
            </w:r>
          </w:p>
        </w:tc>
        <w:tc>
          <w:tcPr>
            <w:tcW w:w="4606" w:type="dxa"/>
          </w:tcPr>
          <w:p w:rsidR="006976C6" w:rsidRPr="0061020E" w:rsidRDefault="00862572" w:rsidP="008F6018">
            <w:pPr>
              <w:spacing w:after="120" w:line="240" w:lineRule="auto"/>
              <w:jc w:val="both"/>
              <w:rPr>
                <w:rFonts w:ascii="Rockwell" w:hAnsi="Rockwell"/>
                <w:sz w:val="24"/>
                <w:szCs w:val="24"/>
              </w:rPr>
            </w:pPr>
            <w:r>
              <w:rPr>
                <w:rFonts w:ascii="Rockwell" w:hAnsi="Rockwell"/>
                <w:sz w:val="24"/>
                <w:szCs w:val="24"/>
              </w:rPr>
              <w:t>Ministère de l’in</w:t>
            </w:r>
            <w:r w:rsidR="006976C6" w:rsidRPr="0061020E">
              <w:rPr>
                <w:rFonts w:ascii="Rockwell" w:hAnsi="Rockwell"/>
                <w:sz w:val="24"/>
                <w:szCs w:val="24"/>
              </w:rPr>
              <w:t xml:space="preserve">dustrie, du </w:t>
            </w:r>
            <w:r>
              <w:rPr>
                <w:rFonts w:ascii="Rockwell" w:hAnsi="Rockwell"/>
                <w:sz w:val="24"/>
                <w:szCs w:val="24"/>
              </w:rPr>
              <w:t>c</w:t>
            </w:r>
            <w:r w:rsidR="006976C6" w:rsidRPr="0061020E">
              <w:rPr>
                <w:rFonts w:ascii="Rockwell" w:hAnsi="Rockwell"/>
                <w:sz w:val="24"/>
                <w:szCs w:val="24"/>
              </w:rPr>
              <w:t>ommerce, et de l’</w:t>
            </w:r>
            <w:r>
              <w:rPr>
                <w:rFonts w:ascii="Rockwell" w:hAnsi="Rockwell"/>
                <w:sz w:val="24"/>
                <w:szCs w:val="24"/>
              </w:rPr>
              <w:t>a</w:t>
            </w:r>
            <w:r w:rsidR="006976C6" w:rsidRPr="0061020E">
              <w:rPr>
                <w:rFonts w:ascii="Rockwell" w:hAnsi="Rockwell"/>
                <w:sz w:val="24"/>
                <w:szCs w:val="24"/>
              </w:rPr>
              <w:t>rtisanat – (MICA)</w:t>
            </w:r>
          </w:p>
          <w:p w:rsidR="006976C6" w:rsidRPr="0061020E" w:rsidRDefault="006976C6" w:rsidP="008F6018">
            <w:pPr>
              <w:spacing w:after="120" w:line="240" w:lineRule="auto"/>
              <w:jc w:val="both"/>
              <w:rPr>
                <w:rFonts w:ascii="Rockwell" w:hAnsi="Rockwell"/>
                <w:sz w:val="24"/>
                <w:szCs w:val="24"/>
              </w:rPr>
            </w:pP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Analyses physico-chimiques (APC)</w:t>
            </w:r>
          </w:p>
          <w:p w:rsidR="006976C6" w:rsidRPr="0061020E" w:rsidRDefault="006976C6" w:rsidP="008F6018">
            <w:pPr>
              <w:spacing w:after="120" w:line="240" w:lineRule="auto"/>
              <w:jc w:val="both"/>
              <w:rPr>
                <w:rFonts w:ascii="Rockwell" w:hAnsi="Rockwell"/>
                <w:sz w:val="24"/>
                <w:szCs w:val="24"/>
              </w:rPr>
            </w:pPr>
          </w:p>
        </w:tc>
      </w:tr>
      <w:tr w:rsidR="00710760" w:rsidRPr="006847BA" w:rsidTr="00AE7B40">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Département de technologie alimentaire (DTA)</w:t>
            </w:r>
          </w:p>
        </w:tc>
        <w:tc>
          <w:tcPr>
            <w:tcW w:w="4606" w:type="dxa"/>
          </w:tcPr>
          <w:p w:rsidR="006976C6" w:rsidRPr="0061020E" w:rsidRDefault="006976C6"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 xml:space="preserve">Ministère des </w:t>
            </w:r>
            <w:r w:rsidR="00862572">
              <w:rPr>
                <w:rFonts w:ascii="Rockwell" w:hAnsi="Rockwell"/>
                <w:sz w:val="24"/>
                <w:szCs w:val="24"/>
              </w:rPr>
              <w:t>e</w:t>
            </w:r>
            <w:r w:rsidRPr="0061020E">
              <w:rPr>
                <w:rFonts w:ascii="Rockwell" w:hAnsi="Rockwell"/>
                <w:sz w:val="24"/>
                <w:szCs w:val="24"/>
              </w:rPr>
              <w:t xml:space="preserve">nseignements </w:t>
            </w:r>
            <w:r w:rsidR="00862572">
              <w:rPr>
                <w:rFonts w:ascii="Rockwell" w:hAnsi="Rockwell"/>
                <w:sz w:val="24"/>
                <w:szCs w:val="24"/>
              </w:rPr>
              <w:t>s</w:t>
            </w:r>
            <w:r w:rsidRPr="0061020E">
              <w:rPr>
                <w:rFonts w:ascii="Rockwell" w:hAnsi="Rockwell"/>
                <w:sz w:val="24"/>
                <w:szCs w:val="24"/>
              </w:rPr>
              <w:t xml:space="preserve">econdaire, </w:t>
            </w:r>
            <w:r w:rsidR="00862572">
              <w:rPr>
                <w:rFonts w:ascii="Rockwell" w:hAnsi="Rockwell"/>
                <w:sz w:val="24"/>
                <w:szCs w:val="24"/>
              </w:rPr>
              <w:t>s</w:t>
            </w:r>
            <w:r w:rsidRPr="0061020E">
              <w:rPr>
                <w:rFonts w:ascii="Rockwell" w:hAnsi="Rockwell"/>
                <w:sz w:val="24"/>
                <w:szCs w:val="24"/>
              </w:rPr>
              <w:t xml:space="preserve">upérieur et de la </w:t>
            </w:r>
            <w:r w:rsidR="00862572">
              <w:rPr>
                <w:rFonts w:ascii="Rockwell" w:hAnsi="Rockwell"/>
                <w:sz w:val="24"/>
                <w:szCs w:val="24"/>
              </w:rPr>
              <w:t>r</w:t>
            </w:r>
            <w:r w:rsidRPr="0061020E">
              <w:rPr>
                <w:rFonts w:ascii="Rockwell" w:hAnsi="Rockwell"/>
                <w:sz w:val="24"/>
                <w:szCs w:val="24"/>
              </w:rPr>
              <w:t xml:space="preserve">echerche </w:t>
            </w:r>
            <w:r w:rsidR="00862572">
              <w:rPr>
                <w:rFonts w:ascii="Rockwell" w:hAnsi="Rockwell"/>
                <w:sz w:val="24"/>
                <w:szCs w:val="24"/>
              </w:rPr>
              <w:t>s</w:t>
            </w:r>
            <w:r w:rsidRPr="0061020E">
              <w:rPr>
                <w:rFonts w:ascii="Rockwell" w:hAnsi="Rockwell"/>
                <w:sz w:val="24"/>
                <w:szCs w:val="24"/>
              </w:rPr>
              <w:t>cientifique</w:t>
            </w:r>
          </w:p>
          <w:p w:rsidR="006976C6" w:rsidRPr="0061020E" w:rsidRDefault="006976C6"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Institut de recherche en sciences appliquées et technologies</w:t>
            </w:r>
          </w:p>
          <w:p w:rsidR="006976C6" w:rsidRPr="0061020E" w:rsidRDefault="006976C6"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NB : conduit des analyses pour la DGPV/MAH</w:t>
            </w:r>
          </w:p>
        </w:tc>
        <w:tc>
          <w:tcPr>
            <w:tcW w:w="4606" w:type="dxa"/>
          </w:tcPr>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AM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APC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Analyses sensorielles (AS)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Appui-conseil aux entreprises agro-alimentaires</w:t>
            </w:r>
          </w:p>
        </w:tc>
      </w:tr>
      <w:tr w:rsidR="00710760" w:rsidRPr="006847BA" w:rsidTr="00AE7B40">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 xml:space="preserve">Laboratoire </w:t>
            </w:r>
            <w:r w:rsidR="00862572">
              <w:rPr>
                <w:rFonts w:ascii="Rockwell" w:hAnsi="Rockwell"/>
                <w:b/>
                <w:sz w:val="24"/>
                <w:szCs w:val="24"/>
              </w:rPr>
              <w:t>n</w:t>
            </w:r>
            <w:r w:rsidRPr="0061020E">
              <w:rPr>
                <w:rFonts w:ascii="Rockwell" w:hAnsi="Rockwell"/>
                <w:b/>
                <w:sz w:val="24"/>
                <w:szCs w:val="24"/>
              </w:rPr>
              <w:t xml:space="preserve">ational du </w:t>
            </w:r>
            <w:r w:rsidR="00862572">
              <w:rPr>
                <w:rFonts w:ascii="Rockwell" w:hAnsi="Rockwell"/>
                <w:b/>
                <w:sz w:val="24"/>
                <w:szCs w:val="24"/>
              </w:rPr>
              <w:t>b</w:t>
            </w:r>
            <w:r w:rsidRPr="0061020E">
              <w:rPr>
                <w:rFonts w:ascii="Rockwell" w:hAnsi="Rockwell"/>
                <w:b/>
                <w:sz w:val="24"/>
                <w:szCs w:val="24"/>
              </w:rPr>
              <w:t xml:space="preserve">âtiment et des </w:t>
            </w:r>
            <w:r w:rsidR="00862572">
              <w:rPr>
                <w:rFonts w:ascii="Rockwell" w:hAnsi="Rockwell"/>
                <w:b/>
                <w:sz w:val="24"/>
                <w:szCs w:val="24"/>
              </w:rPr>
              <w:t>t</w:t>
            </w:r>
            <w:r w:rsidRPr="0061020E">
              <w:rPr>
                <w:rFonts w:ascii="Rockwell" w:hAnsi="Rockwell"/>
                <w:b/>
                <w:sz w:val="24"/>
                <w:szCs w:val="24"/>
              </w:rPr>
              <w:t xml:space="preserve">ravaux </w:t>
            </w:r>
            <w:r w:rsidR="00862572">
              <w:rPr>
                <w:rFonts w:ascii="Rockwell" w:hAnsi="Rockwell"/>
                <w:b/>
                <w:sz w:val="24"/>
                <w:szCs w:val="24"/>
              </w:rPr>
              <w:t>p</w:t>
            </w:r>
            <w:r w:rsidRPr="0061020E">
              <w:rPr>
                <w:rFonts w:ascii="Rockwell" w:hAnsi="Rockwell"/>
                <w:b/>
                <w:sz w:val="24"/>
                <w:szCs w:val="24"/>
              </w:rPr>
              <w:t xml:space="preserve">ublics (LNBTP) </w:t>
            </w:r>
          </w:p>
          <w:p w:rsidR="006976C6" w:rsidRPr="0061020E" w:rsidRDefault="006976C6" w:rsidP="008F6018">
            <w:pPr>
              <w:spacing w:after="120" w:line="240" w:lineRule="auto"/>
              <w:jc w:val="both"/>
              <w:rPr>
                <w:rFonts w:ascii="Rockwell" w:hAnsi="Rockwell"/>
                <w:b/>
                <w:sz w:val="24"/>
                <w:szCs w:val="24"/>
              </w:rPr>
            </w:pPr>
            <w:r w:rsidRPr="0061020E">
              <w:rPr>
                <w:rFonts w:ascii="Rockwell" w:hAnsi="Rockwell"/>
                <w:i/>
                <w:sz w:val="24"/>
                <w:szCs w:val="24"/>
              </w:rPr>
              <w:lastRenderedPageBreak/>
              <w:t>Société d’Etat</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lastRenderedPageBreak/>
              <w:t xml:space="preserve">Tutelles techniques : Ministère des </w:t>
            </w:r>
            <w:r w:rsidR="00862572">
              <w:rPr>
                <w:rFonts w:ascii="Rockwell" w:hAnsi="Rockwell"/>
                <w:sz w:val="24"/>
                <w:szCs w:val="24"/>
              </w:rPr>
              <w:t>i</w:t>
            </w:r>
            <w:r w:rsidRPr="0061020E">
              <w:rPr>
                <w:rFonts w:ascii="Rockwell" w:hAnsi="Rockwell"/>
                <w:sz w:val="24"/>
                <w:szCs w:val="24"/>
              </w:rPr>
              <w:t xml:space="preserve">nfrastructures et du </w:t>
            </w:r>
            <w:r w:rsidR="00862572">
              <w:rPr>
                <w:rFonts w:ascii="Rockwell" w:hAnsi="Rockwell"/>
                <w:sz w:val="24"/>
                <w:szCs w:val="24"/>
              </w:rPr>
              <w:t>d</w:t>
            </w:r>
            <w:r w:rsidRPr="0061020E">
              <w:rPr>
                <w:rFonts w:ascii="Rockwell" w:hAnsi="Rockwell"/>
                <w:sz w:val="24"/>
                <w:szCs w:val="24"/>
              </w:rPr>
              <w:t xml:space="preserve">ésenclavement et </w:t>
            </w:r>
            <w:r w:rsidRPr="0061020E">
              <w:rPr>
                <w:rFonts w:ascii="Rockwell" w:hAnsi="Rockwell"/>
                <w:sz w:val="24"/>
                <w:szCs w:val="24"/>
              </w:rPr>
              <w:lastRenderedPageBreak/>
              <w:t>Ministère de l’</w:t>
            </w:r>
            <w:r w:rsidR="00862572">
              <w:rPr>
                <w:rFonts w:ascii="Rockwell" w:hAnsi="Rockwell"/>
                <w:sz w:val="24"/>
                <w:szCs w:val="24"/>
              </w:rPr>
              <w:t>h</w:t>
            </w:r>
            <w:r w:rsidRPr="0061020E">
              <w:rPr>
                <w:rFonts w:ascii="Rockwell" w:hAnsi="Rockwell"/>
                <w:sz w:val="24"/>
                <w:szCs w:val="24"/>
              </w:rPr>
              <w:t>abitat et de l’</w:t>
            </w:r>
            <w:r w:rsidR="00862572">
              <w:rPr>
                <w:rFonts w:ascii="Rockwell" w:hAnsi="Rockwell"/>
                <w:sz w:val="24"/>
                <w:szCs w:val="24"/>
              </w:rPr>
              <w:t>u</w:t>
            </w:r>
            <w:r w:rsidRPr="0061020E">
              <w:rPr>
                <w:rFonts w:ascii="Rockwell" w:hAnsi="Rockwell"/>
                <w:sz w:val="24"/>
                <w:szCs w:val="24"/>
              </w:rPr>
              <w:t>rbanisme</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Tutelle financière: Ministère de l’économie et des finances</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Tutelle de gestion : MICA</w:t>
            </w:r>
          </w:p>
        </w:tc>
        <w:tc>
          <w:tcPr>
            <w:tcW w:w="4606" w:type="dxa"/>
          </w:tcPr>
          <w:p w:rsidR="006976C6" w:rsidRPr="0061020E" w:rsidRDefault="006976C6" w:rsidP="008F6018">
            <w:pPr>
              <w:spacing w:after="120" w:line="240" w:lineRule="auto"/>
              <w:ind w:firstLine="711"/>
              <w:jc w:val="both"/>
              <w:rPr>
                <w:rFonts w:ascii="Rockwell" w:hAnsi="Rockwell"/>
                <w:sz w:val="24"/>
                <w:szCs w:val="24"/>
              </w:rPr>
            </w:pPr>
            <w:r w:rsidRPr="0061020E">
              <w:rPr>
                <w:rFonts w:ascii="Rockwell" w:hAnsi="Rockwell"/>
                <w:sz w:val="24"/>
                <w:szCs w:val="24"/>
              </w:rPr>
              <w:lastRenderedPageBreak/>
              <w:t>- Analyse de la qualité des sols et des matériaux utilisés en génie civil.</w:t>
            </w:r>
          </w:p>
        </w:tc>
      </w:tr>
      <w:tr w:rsidR="00710760" w:rsidRPr="006847BA" w:rsidTr="00AE7B40">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 xml:space="preserve">Bureau des </w:t>
            </w:r>
            <w:r w:rsidR="00862572">
              <w:rPr>
                <w:rFonts w:ascii="Rockwell" w:hAnsi="Rockwell"/>
                <w:b/>
                <w:sz w:val="24"/>
                <w:szCs w:val="24"/>
              </w:rPr>
              <w:t>m</w:t>
            </w:r>
            <w:r w:rsidRPr="0061020E">
              <w:rPr>
                <w:rFonts w:ascii="Rockwell" w:hAnsi="Rockwell"/>
                <w:b/>
                <w:sz w:val="24"/>
                <w:szCs w:val="24"/>
              </w:rPr>
              <w:t xml:space="preserve">ines et de la </w:t>
            </w:r>
            <w:r w:rsidR="00862572">
              <w:rPr>
                <w:rFonts w:ascii="Rockwell" w:hAnsi="Rockwell"/>
                <w:b/>
                <w:sz w:val="24"/>
                <w:szCs w:val="24"/>
              </w:rPr>
              <w:t>g</w:t>
            </w:r>
            <w:r w:rsidRPr="0061020E">
              <w:rPr>
                <w:rFonts w:ascii="Rockwell" w:hAnsi="Rockwell"/>
                <w:b/>
                <w:sz w:val="24"/>
                <w:szCs w:val="24"/>
              </w:rPr>
              <w:t>éologie du Burkina (BUMIGEB)</w:t>
            </w:r>
          </w:p>
          <w:p w:rsidR="006976C6" w:rsidRPr="0061020E" w:rsidRDefault="006976C6" w:rsidP="008F6018">
            <w:pPr>
              <w:spacing w:after="120" w:line="240" w:lineRule="auto"/>
              <w:jc w:val="both"/>
              <w:rPr>
                <w:rFonts w:ascii="Rockwell" w:hAnsi="Rockwell"/>
                <w:i/>
                <w:sz w:val="24"/>
                <w:szCs w:val="24"/>
              </w:rPr>
            </w:pP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Tutelle technique : </w:t>
            </w:r>
            <w:r w:rsidRPr="0061020E">
              <w:rPr>
                <w:rFonts w:ascii="Rockwell" w:hAnsi="Rockwell" w:cs="Arial"/>
                <w:sz w:val="24"/>
                <w:szCs w:val="24"/>
              </w:rPr>
              <w:t xml:space="preserve">Ministère des </w:t>
            </w:r>
            <w:r w:rsidR="00862572">
              <w:rPr>
                <w:rFonts w:ascii="Rockwell" w:hAnsi="Rockwell" w:cs="Arial"/>
                <w:sz w:val="24"/>
                <w:szCs w:val="24"/>
              </w:rPr>
              <w:t>m</w:t>
            </w:r>
            <w:r w:rsidRPr="0061020E">
              <w:rPr>
                <w:rFonts w:ascii="Rockwell" w:hAnsi="Rockwell" w:cs="Arial"/>
                <w:sz w:val="24"/>
                <w:szCs w:val="24"/>
              </w:rPr>
              <w:t xml:space="preserve">ines, des </w:t>
            </w:r>
            <w:r w:rsidR="00862572">
              <w:rPr>
                <w:rFonts w:ascii="Rockwell" w:hAnsi="Rockwell" w:cs="Arial"/>
                <w:sz w:val="24"/>
                <w:szCs w:val="24"/>
              </w:rPr>
              <w:t>c</w:t>
            </w:r>
            <w:r w:rsidRPr="0061020E">
              <w:rPr>
                <w:rFonts w:ascii="Rockwell" w:hAnsi="Rockwell" w:cs="Arial"/>
                <w:sz w:val="24"/>
                <w:szCs w:val="24"/>
              </w:rPr>
              <w:t>arrières et de l'</w:t>
            </w:r>
            <w:r w:rsidR="00862572">
              <w:rPr>
                <w:rFonts w:ascii="Rockwell" w:hAnsi="Rockwell" w:cs="Arial"/>
                <w:sz w:val="24"/>
                <w:szCs w:val="24"/>
              </w:rPr>
              <w:t>é</w:t>
            </w:r>
            <w:r w:rsidRPr="0061020E">
              <w:rPr>
                <w:rFonts w:ascii="Rockwell" w:hAnsi="Rockwell" w:cs="Arial"/>
                <w:sz w:val="24"/>
                <w:szCs w:val="24"/>
              </w:rPr>
              <w:t>nergie</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Tutelle financière: Ministère de l’économie et des finances</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Tutelle de gestion : MICA</w:t>
            </w:r>
          </w:p>
        </w:tc>
        <w:tc>
          <w:tcPr>
            <w:tcW w:w="4606" w:type="dxa"/>
          </w:tcPr>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APC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Analyse des rejets polluants (ARP)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Géochimie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Essaies de traitement des minéraux ;</w:t>
            </w:r>
          </w:p>
          <w:p w:rsidR="006976C6" w:rsidRPr="0061020E" w:rsidRDefault="006976C6" w:rsidP="008F6018">
            <w:pPr>
              <w:pStyle w:val="Paragraphedeliste"/>
              <w:numPr>
                <w:ilvl w:val="0"/>
                <w:numId w:val="82"/>
              </w:numPr>
              <w:spacing w:after="120" w:line="240" w:lineRule="auto"/>
              <w:jc w:val="both"/>
              <w:rPr>
                <w:rFonts w:ascii="Rockwell" w:hAnsi="Rockwell"/>
                <w:sz w:val="24"/>
                <w:szCs w:val="24"/>
              </w:rPr>
            </w:pPr>
            <w:r w:rsidRPr="0061020E">
              <w:rPr>
                <w:rFonts w:ascii="Rockwell" w:hAnsi="Rockwell"/>
                <w:sz w:val="24"/>
                <w:szCs w:val="24"/>
              </w:rPr>
              <w:t>Granulométrie ;</w:t>
            </w:r>
          </w:p>
        </w:tc>
      </w:tr>
      <w:tr w:rsidR="00710760" w:rsidRPr="006847BA" w:rsidTr="00AE7B40">
        <w:tc>
          <w:tcPr>
            <w:tcW w:w="4606" w:type="dxa"/>
          </w:tcPr>
          <w:p w:rsidR="006976C6" w:rsidRPr="0061020E" w:rsidRDefault="006976C6" w:rsidP="00710760">
            <w:pPr>
              <w:spacing w:after="120" w:line="240" w:lineRule="auto"/>
              <w:jc w:val="both"/>
              <w:rPr>
                <w:rFonts w:ascii="Rockwell" w:hAnsi="Rockwell"/>
                <w:i/>
                <w:sz w:val="24"/>
                <w:szCs w:val="24"/>
              </w:rPr>
            </w:pPr>
            <w:r w:rsidRPr="0061020E">
              <w:rPr>
                <w:rFonts w:ascii="Rockwell" w:hAnsi="Rockwell"/>
                <w:b/>
                <w:sz w:val="24"/>
                <w:szCs w:val="24"/>
              </w:rPr>
              <w:t>Bureau national des sols (BUNASOLS)</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MAH</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Service rattaché</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APC sur les sols, plantes, eaux et engrais</w:t>
            </w:r>
            <w:r w:rsidR="00710760">
              <w:rPr>
                <w:rFonts w:ascii="Rockwell" w:hAnsi="Rockwell"/>
                <w:sz w:val="24"/>
                <w:szCs w:val="24"/>
              </w:rPr>
              <w:t>.</w:t>
            </w:r>
          </w:p>
        </w:tc>
      </w:tr>
      <w:tr w:rsidR="00710760" w:rsidRPr="006847BA" w:rsidTr="00AE7B40">
        <w:tc>
          <w:tcPr>
            <w:tcW w:w="4606" w:type="dxa"/>
          </w:tcPr>
          <w:p w:rsidR="006976C6" w:rsidRPr="0061020E" w:rsidRDefault="006976C6" w:rsidP="00862572">
            <w:pPr>
              <w:spacing w:after="120" w:line="240" w:lineRule="auto"/>
              <w:jc w:val="both"/>
              <w:rPr>
                <w:rFonts w:ascii="Rockwell" w:hAnsi="Rockwell"/>
                <w:i/>
                <w:sz w:val="24"/>
                <w:szCs w:val="24"/>
              </w:rPr>
            </w:pPr>
            <w:r w:rsidRPr="0061020E">
              <w:rPr>
                <w:rFonts w:ascii="Rockwell" w:hAnsi="Rockwell"/>
                <w:b/>
                <w:sz w:val="24"/>
                <w:szCs w:val="24"/>
              </w:rPr>
              <w:t xml:space="preserve">Centre de </w:t>
            </w:r>
            <w:r w:rsidR="00862572">
              <w:rPr>
                <w:rFonts w:ascii="Rockwell" w:hAnsi="Rockwell"/>
                <w:b/>
                <w:sz w:val="24"/>
                <w:szCs w:val="24"/>
              </w:rPr>
              <w:t>r</w:t>
            </w:r>
            <w:r w:rsidRPr="0061020E">
              <w:rPr>
                <w:rFonts w:ascii="Rockwell" w:hAnsi="Rockwell"/>
                <w:b/>
                <w:sz w:val="24"/>
                <w:szCs w:val="24"/>
              </w:rPr>
              <w:t xml:space="preserve">echerche en </w:t>
            </w:r>
            <w:r w:rsidR="00862572">
              <w:rPr>
                <w:rFonts w:ascii="Rockwell" w:hAnsi="Rockwell"/>
                <w:b/>
                <w:sz w:val="24"/>
                <w:szCs w:val="24"/>
              </w:rPr>
              <w:t>s</w:t>
            </w:r>
            <w:r w:rsidRPr="0061020E">
              <w:rPr>
                <w:rFonts w:ascii="Rockwell" w:hAnsi="Rockwell"/>
                <w:b/>
                <w:sz w:val="24"/>
                <w:szCs w:val="24"/>
              </w:rPr>
              <w:t xml:space="preserve">ciences </w:t>
            </w:r>
            <w:r w:rsidR="00862572">
              <w:rPr>
                <w:rFonts w:ascii="Rockwell" w:hAnsi="Rockwell"/>
                <w:b/>
                <w:sz w:val="24"/>
                <w:szCs w:val="24"/>
              </w:rPr>
              <w:t>b</w:t>
            </w:r>
            <w:r w:rsidRPr="0061020E">
              <w:rPr>
                <w:rFonts w:ascii="Rockwell" w:hAnsi="Rockwell"/>
                <w:b/>
                <w:sz w:val="24"/>
                <w:szCs w:val="24"/>
              </w:rPr>
              <w:t xml:space="preserve">iologiques </w:t>
            </w:r>
            <w:r w:rsidR="00862572">
              <w:rPr>
                <w:rFonts w:ascii="Rockwell" w:hAnsi="Rockwell"/>
                <w:b/>
                <w:sz w:val="24"/>
                <w:szCs w:val="24"/>
              </w:rPr>
              <w:t>a</w:t>
            </w:r>
            <w:r w:rsidRPr="0061020E">
              <w:rPr>
                <w:rFonts w:ascii="Rockwell" w:hAnsi="Rockwell"/>
                <w:b/>
                <w:sz w:val="24"/>
                <w:szCs w:val="24"/>
              </w:rPr>
              <w:t xml:space="preserve">limentaires et </w:t>
            </w:r>
            <w:r w:rsidR="00862572">
              <w:rPr>
                <w:rFonts w:ascii="Rockwell" w:hAnsi="Rockwell"/>
                <w:b/>
                <w:sz w:val="24"/>
                <w:szCs w:val="24"/>
              </w:rPr>
              <w:t>n</w:t>
            </w:r>
            <w:r w:rsidRPr="0061020E">
              <w:rPr>
                <w:rFonts w:ascii="Rockwell" w:hAnsi="Rockwell"/>
                <w:b/>
                <w:sz w:val="24"/>
                <w:szCs w:val="24"/>
              </w:rPr>
              <w:t>utritionnelles</w:t>
            </w:r>
            <w:r w:rsidRPr="0061020E">
              <w:rPr>
                <w:rFonts w:ascii="Rockwell" w:hAnsi="Rockwell"/>
                <w:sz w:val="24"/>
                <w:szCs w:val="24"/>
              </w:rPr>
              <w:t xml:space="preserve"> (</w:t>
            </w:r>
            <w:r w:rsidRPr="0061020E">
              <w:rPr>
                <w:rFonts w:ascii="Rockwell" w:hAnsi="Rockwell"/>
                <w:b/>
                <w:sz w:val="24"/>
                <w:szCs w:val="24"/>
              </w:rPr>
              <w:t>CRSBAN)</w:t>
            </w:r>
          </w:p>
        </w:tc>
        <w:tc>
          <w:tcPr>
            <w:tcW w:w="4606" w:type="dxa"/>
          </w:tcPr>
          <w:p w:rsidR="006976C6" w:rsidRPr="0061020E" w:rsidRDefault="006976C6"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Le CRS BAN regroupe différents laboratoires de l’Université, dont il dépend.</w:t>
            </w:r>
          </w:p>
          <w:p w:rsidR="006976C6" w:rsidRPr="0061020E" w:rsidRDefault="006976C6" w:rsidP="00862572">
            <w:pPr>
              <w:pStyle w:val="Paragraphedeliste"/>
              <w:spacing w:after="120" w:line="240" w:lineRule="auto"/>
              <w:ind w:left="0"/>
              <w:jc w:val="both"/>
              <w:rPr>
                <w:rFonts w:ascii="Rockwell" w:hAnsi="Rockwell"/>
                <w:sz w:val="24"/>
                <w:szCs w:val="24"/>
              </w:rPr>
            </w:pPr>
            <w:r w:rsidRPr="0061020E">
              <w:rPr>
                <w:rFonts w:ascii="Rockwell" w:hAnsi="Rockwell"/>
                <w:sz w:val="24"/>
                <w:szCs w:val="24"/>
              </w:rPr>
              <w:t xml:space="preserve">Ministère des </w:t>
            </w:r>
            <w:r w:rsidR="00862572">
              <w:rPr>
                <w:rFonts w:ascii="Rockwell" w:hAnsi="Rockwell"/>
                <w:sz w:val="24"/>
                <w:szCs w:val="24"/>
              </w:rPr>
              <w:t>e</w:t>
            </w:r>
            <w:r w:rsidRPr="0061020E">
              <w:rPr>
                <w:rFonts w:ascii="Rockwell" w:hAnsi="Rockwell"/>
                <w:sz w:val="24"/>
                <w:szCs w:val="24"/>
              </w:rPr>
              <w:t xml:space="preserve">nseignements </w:t>
            </w:r>
            <w:r w:rsidR="00862572">
              <w:rPr>
                <w:rFonts w:ascii="Rockwell" w:hAnsi="Rockwell"/>
                <w:sz w:val="24"/>
                <w:szCs w:val="24"/>
              </w:rPr>
              <w:t>s</w:t>
            </w:r>
            <w:r w:rsidRPr="0061020E">
              <w:rPr>
                <w:rFonts w:ascii="Rockwell" w:hAnsi="Rockwell"/>
                <w:sz w:val="24"/>
                <w:szCs w:val="24"/>
              </w:rPr>
              <w:t xml:space="preserve">econdaire, </w:t>
            </w:r>
            <w:r w:rsidR="00862572">
              <w:rPr>
                <w:rFonts w:ascii="Rockwell" w:hAnsi="Rockwell"/>
                <w:sz w:val="24"/>
                <w:szCs w:val="24"/>
              </w:rPr>
              <w:t>s</w:t>
            </w:r>
            <w:r w:rsidRPr="0061020E">
              <w:rPr>
                <w:rFonts w:ascii="Rockwell" w:hAnsi="Rockwell"/>
                <w:sz w:val="24"/>
                <w:szCs w:val="24"/>
              </w:rPr>
              <w:t xml:space="preserve">upérieur et de la </w:t>
            </w:r>
            <w:r w:rsidR="00862572">
              <w:rPr>
                <w:rFonts w:ascii="Rockwell" w:hAnsi="Rockwell"/>
                <w:sz w:val="24"/>
                <w:szCs w:val="24"/>
              </w:rPr>
              <w:t>r</w:t>
            </w:r>
            <w:r w:rsidRPr="0061020E">
              <w:rPr>
                <w:rFonts w:ascii="Rockwell" w:hAnsi="Rockwell"/>
                <w:sz w:val="24"/>
                <w:szCs w:val="24"/>
              </w:rPr>
              <w:t xml:space="preserve">echerche </w:t>
            </w:r>
            <w:r w:rsidR="00862572">
              <w:rPr>
                <w:rFonts w:ascii="Rockwell" w:hAnsi="Rockwell"/>
                <w:sz w:val="24"/>
                <w:szCs w:val="24"/>
              </w:rPr>
              <w:t>s</w:t>
            </w:r>
            <w:r w:rsidRPr="0061020E">
              <w:rPr>
                <w:rFonts w:ascii="Rockwell" w:hAnsi="Rockwell"/>
                <w:sz w:val="24"/>
                <w:szCs w:val="24"/>
              </w:rPr>
              <w:t>cientifique</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xml:space="preserve">Mandats de recherche et de formation dans les domaines des technologies agro-alimentaires, de la qualité hygiénique et nutritionnelle des aliments, de la microbiologie, de l’HACCP etc. </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Prestations de service</w:t>
            </w:r>
            <w:r w:rsidR="00862572">
              <w:rPr>
                <w:rFonts w:ascii="Rockwell" w:hAnsi="Rockwell"/>
                <w:sz w:val="24"/>
                <w:szCs w:val="24"/>
              </w:rPr>
              <w:t>s</w:t>
            </w:r>
            <w:r w:rsidRPr="0061020E">
              <w:rPr>
                <w:rFonts w:ascii="Rockwell" w:hAnsi="Rockwell"/>
                <w:sz w:val="24"/>
                <w:szCs w:val="24"/>
              </w:rPr>
              <w:t xml:space="preserve"> pour le contrôle qualité de produits (mais pas de </w:t>
            </w:r>
            <w:r w:rsidRPr="0061020E">
              <w:rPr>
                <w:rFonts w:ascii="Rockwell" w:hAnsi="Rockwell"/>
                <w:b/>
                <w:sz w:val="24"/>
                <w:szCs w:val="24"/>
                <w:u w:val="single"/>
              </w:rPr>
              <w:t>mandat</w:t>
            </w:r>
            <w:r w:rsidR="00710760">
              <w:rPr>
                <w:rFonts w:ascii="Rockwell" w:hAnsi="Rockwell"/>
                <w:sz w:val="24"/>
                <w:szCs w:val="24"/>
              </w:rPr>
              <w:t xml:space="preserve"> de contrôle)</w:t>
            </w:r>
          </w:p>
        </w:tc>
      </w:tr>
      <w:tr w:rsidR="00710760" w:rsidRPr="006847BA" w:rsidTr="00AE7B40">
        <w:trPr>
          <w:trHeight w:val="693"/>
        </w:trPr>
        <w:tc>
          <w:tcPr>
            <w:tcW w:w="4606" w:type="dxa"/>
          </w:tcPr>
          <w:p w:rsidR="006976C6" w:rsidRPr="0061020E" w:rsidRDefault="006976C6" w:rsidP="008F6018">
            <w:pPr>
              <w:spacing w:after="120" w:line="240" w:lineRule="auto"/>
              <w:jc w:val="both"/>
              <w:rPr>
                <w:rFonts w:ascii="Rockwell" w:hAnsi="Rockwell"/>
                <w:b/>
                <w:sz w:val="24"/>
                <w:szCs w:val="24"/>
              </w:rPr>
            </w:pPr>
            <w:r w:rsidRPr="0061020E">
              <w:rPr>
                <w:rFonts w:ascii="Rockwell" w:hAnsi="Rockwell"/>
                <w:b/>
                <w:sz w:val="24"/>
                <w:szCs w:val="24"/>
              </w:rPr>
              <w:t>Laboratoire de la DGRE</w:t>
            </w:r>
          </w:p>
        </w:tc>
        <w:tc>
          <w:tcPr>
            <w:tcW w:w="4606" w:type="dxa"/>
          </w:tcPr>
          <w:p w:rsidR="006976C6" w:rsidRPr="0061020E" w:rsidRDefault="006976C6" w:rsidP="008F6018">
            <w:pPr>
              <w:pStyle w:val="Paragraphedeliste"/>
              <w:spacing w:after="120" w:line="240" w:lineRule="auto"/>
              <w:ind w:left="0"/>
              <w:jc w:val="both"/>
              <w:rPr>
                <w:rFonts w:ascii="Rockwell" w:hAnsi="Rockwell"/>
                <w:sz w:val="24"/>
                <w:szCs w:val="24"/>
              </w:rPr>
            </w:pPr>
            <w:r w:rsidRPr="0061020E">
              <w:rPr>
                <w:rFonts w:ascii="Rockwell" w:hAnsi="Rockwell"/>
                <w:sz w:val="24"/>
                <w:szCs w:val="24"/>
              </w:rPr>
              <w:t>M</w:t>
            </w:r>
            <w:r w:rsidR="00862572">
              <w:rPr>
                <w:rFonts w:ascii="Rockwell" w:hAnsi="Rockwell"/>
                <w:sz w:val="24"/>
                <w:szCs w:val="24"/>
              </w:rPr>
              <w:t>AH- DGRE – DEIE – Service suivi-</w:t>
            </w:r>
            <w:r w:rsidRPr="0061020E">
              <w:rPr>
                <w:rFonts w:ascii="Rockwell" w:hAnsi="Rockwell"/>
                <w:sz w:val="24"/>
                <w:szCs w:val="24"/>
              </w:rPr>
              <w:t>évaluation des ressources en eau et des usages (SSEREU)</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Mandat de suivi de la qualité des eaux naturelles et des eaux destinées à la consommation.</w:t>
            </w:r>
          </w:p>
        </w:tc>
      </w:tr>
      <w:tr w:rsidR="00710760" w:rsidRPr="006847BA" w:rsidTr="00AE7B40">
        <w:trPr>
          <w:trHeight w:val="693"/>
        </w:trPr>
        <w:tc>
          <w:tcPr>
            <w:tcW w:w="4606" w:type="dxa"/>
          </w:tcPr>
          <w:p w:rsidR="006976C6" w:rsidRPr="008E6524" w:rsidRDefault="006976C6" w:rsidP="00710760">
            <w:pPr>
              <w:spacing w:after="120" w:line="240" w:lineRule="auto"/>
              <w:jc w:val="both"/>
              <w:rPr>
                <w:rFonts w:ascii="Rockwell" w:hAnsi="Rockwell"/>
                <w:i/>
                <w:sz w:val="24"/>
                <w:szCs w:val="24"/>
              </w:rPr>
            </w:pPr>
            <w:r w:rsidRPr="008E6524">
              <w:rPr>
                <w:rFonts w:ascii="Rockwell" w:hAnsi="Rockwell"/>
                <w:b/>
                <w:sz w:val="24"/>
                <w:szCs w:val="24"/>
              </w:rPr>
              <w:t xml:space="preserve">Laboratoire </w:t>
            </w:r>
            <w:r w:rsidR="001536AB" w:rsidRPr="008E6524">
              <w:rPr>
                <w:rFonts w:ascii="Rockwell" w:hAnsi="Rockwell"/>
                <w:b/>
                <w:sz w:val="24"/>
                <w:szCs w:val="24"/>
              </w:rPr>
              <w:t>d’analyse de la qualité</w:t>
            </w:r>
            <w:r w:rsidR="00710760" w:rsidRPr="008E6524">
              <w:rPr>
                <w:rFonts w:ascii="Rockwell" w:hAnsi="Rockwell"/>
                <w:b/>
                <w:sz w:val="24"/>
                <w:szCs w:val="24"/>
              </w:rPr>
              <w:t xml:space="preserve"> de l’environnement (LAQE)</w:t>
            </w:r>
          </w:p>
        </w:tc>
        <w:tc>
          <w:tcPr>
            <w:tcW w:w="4606" w:type="dxa"/>
          </w:tcPr>
          <w:p w:rsidR="006976C6" w:rsidRPr="008E6524" w:rsidRDefault="006976C6" w:rsidP="00710760">
            <w:pPr>
              <w:pStyle w:val="Paragraphedeliste"/>
              <w:spacing w:after="120" w:line="240" w:lineRule="auto"/>
              <w:ind w:left="0"/>
              <w:jc w:val="both"/>
              <w:rPr>
                <w:rFonts w:ascii="Rockwell" w:hAnsi="Rockwell"/>
                <w:sz w:val="24"/>
                <w:szCs w:val="24"/>
              </w:rPr>
            </w:pPr>
            <w:r w:rsidRPr="008E6524">
              <w:rPr>
                <w:rFonts w:ascii="Rockwell" w:hAnsi="Rockwell"/>
                <w:sz w:val="24"/>
                <w:szCs w:val="24"/>
              </w:rPr>
              <w:t>Ministère de l’environnement</w:t>
            </w:r>
            <w:r w:rsidR="00710760" w:rsidRPr="008E6524">
              <w:rPr>
                <w:rFonts w:ascii="Rockwell" w:hAnsi="Rockwell"/>
                <w:sz w:val="24"/>
                <w:szCs w:val="24"/>
              </w:rPr>
              <w:t>, de l’économie verte et du changement climatique (MEEVCC)</w:t>
            </w:r>
          </w:p>
        </w:tc>
        <w:tc>
          <w:tcPr>
            <w:tcW w:w="4606" w:type="dxa"/>
          </w:tcPr>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w:t>
            </w:r>
            <w:r w:rsidR="00710760">
              <w:rPr>
                <w:rFonts w:ascii="Rockwell" w:hAnsi="Rockwell"/>
                <w:sz w:val="24"/>
                <w:szCs w:val="24"/>
              </w:rPr>
              <w:t xml:space="preserve"> </w:t>
            </w:r>
            <w:r w:rsidR="00862572">
              <w:rPr>
                <w:rFonts w:ascii="Rockwell" w:hAnsi="Rockwell"/>
                <w:sz w:val="24"/>
                <w:szCs w:val="24"/>
              </w:rPr>
              <w:t>A</w:t>
            </w:r>
            <w:r w:rsidRPr="0061020E">
              <w:rPr>
                <w:rFonts w:ascii="Rockwell" w:hAnsi="Rockwell"/>
                <w:sz w:val="24"/>
                <w:szCs w:val="24"/>
              </w:rPr>
              <w:t>nalyses physico-chimiques et bactériologiques</w:t>
            </w:r>
            <w:r w:rsidR="00710760">
              <w:rPr>
                <w:rFonts w:ascii="Rockwell" w:hAnsi="Rockwell"/>
                <w:sz w:val="24"/>
                <w:szCs w:val="24"/>
              </w:rPr>
              <w:t> ;</w:t>
            </w:r>
          </w:p>
          <w:p w:rsidR="00710760" w:rsidRDefault="00710760" w:rsidP="008F6018">
            <w:pPr>
              <w:spacing w:after="120" w:line="240" w:lineRule="auto"/>
              <w:jc w:val="both"/>
              <w:rPr>
                <w:rFonts w:ascii="Rockwell" w:hAnsi="Rockwell"/>
                <w:sz w:val="24"/>
                <w:szCs w:val="24"/>
              </w:rPr>
            </w:pPr>
            <w:r>
              <w:rPr>
                <w:rFonts w:ascii="Rockwell" w:hAnsi="Rockwell"/>
                <w:sz w:val="24"/>
                <w:szCs w:val="24"/>
              </w:rPr>
              <w:t xml:space="preserve">- </w:t>
            </w:r>
            <w:r w:rsidR="00862572" w:rsidRPr="0061020E">
              <w:rPr>
                <w:rFonts w:ascii="Rockwell" w:hAnsi="Rockwell"/>
                <w:sz w:val="24"/>
                <w:szCs w:val="24"/>
              </w:rPr>
              <w:t>R</w:t>
            </w:r>
            <w:r w:rsidR="006976C6" w:rsidRPr="0061020E">
              <w:rPr>
                <w:rFonts w:ascii="Rockwell" w:hAnsi="Rockwell"/>
                <w:sz w:val="24"/>
                <w:szCs w:val="24"/>
              </w:rPr>
              <w:t>echerche appliquée (eaux usées)</w:t>
            </w:r>
            <w:r>
              <w:rPr>
                <w:rFonts w:ascii="Rockwell" w:hAnsi="Rockwell"/>
                <w:sz w:val="24"/>
                <w:szCs w:val="24"/>
              </w:rPr>
              <w:t> ;</w:t>
            </w:r>
          </w:p>
          <w:p w:rsidR="00710760" w:rsidRPr="0061020E" w:rsidRDefault="00710760" w:rsidP="008F6018">
            <w:pPr>
              <w:spacing w:after="120" w:line="240" w:lineRule="auto"/>
              <w:jc w:val="both"/>
              <w:rPr>
                <w:rFonts w:ascii="Rockwell" w:hAnsi="Rockwell"/>
                <w:sz w:val="24"/>
                <w:szCs w:val="24"/>
              </w:rPr>
            </w:pPr>
            <w:r>
              <w:rPr>
                <w:rFonts w:ascii="Rockwell" w:hAnsi="Rockwell"/>
                <w:sz w:val="24"/>
                <w:szCs w:val="24"/>
              </w:rPr>
              <w:t xml:space="preserve">- </w:t>
            </w:r>
            <w:r w:rsidR="00862572">
              <w:rPr>
                <w:rFonts w:ascii="Rockwell" w:hAnsi="Rockwell"/>
                <w:sz w:val="24"/>
                <w:szCs w:val="24"/>
              </w:rPr>
              <w:t>S</w:t>
            </w:r>
            <w:r>
              <w:rPr>
                <w:rFonts w:ascii="Rockwell" w:hAnsi="Rockwell"/>
                <w:sz w:val="24"/>
                <w:szCs w:val="24"/>
              </w:rPr>
              <w:t>ervice de la qualité de l’environnement ;</w:t>
            </w:r>
          </w:p>
          <w:p w:rsidR="006976C6" w:rsidRPr="0061020E" w:rsidRDefault="006976C6" w:rsidP="008F6018">
            <w:pPr>
              <w:spacing w:after="120" w:line="240" w:lineRule="auto"/>
              <w:jc w:val="both"/>
              <w:rPr>
                <w:rFonts w:ascii="Rockwell" w:hAnsi="Rockwell"/>
                <w:sz w:val="24"/>
                <w:szCs w:val="24"/>
              </w:rPr>
            </w:pPr>
            <w:r w:rsidRPr="0061020E">
              <w:rPr>
                <w:rFonts w:ascii="Rockwell" w:hAnsi="Rockwell"/>
                <w:sz w:val="24"/>
                <w:szCs w:val="24"/>
              </w:rPr>
              <w:t>- incitation des unités industrielles à contrôler leurs rejets</w:t>
            </w:r>
            <w:r w:rsidR="00710760">
              <w:rPr>
                <w:rFonts w:ascii="Rockwell" w:hAnsi="Rockwell"/>
                <w:sz w:val="24"/>
                <w:szCs w:val="24"/>
              </w:rPr>
              <w:t>.</w:t>
            </w:r>
          </w:p>
        </w:tc>
      </w:tr>
    </w:tbl>
    <w:p w:rsidR="006976C6" w:rsidRPr="0061020E" w:rsidRDefault="006976C6" w:rsidP="008F6018">
      <w:pPr>
        <w:spacing w:after="120" w:line="240" w:lineRule="auto"/>
        <w:jc w:val="both"/>
        <w:rPr>
          <w:rFonts w:ascii="Rockwell" w:hAnsi="Rockwell"/>
          <w:sz w:val="24"/>
          <w:szCs w:val="24"/>
        </w:rPr>
      </w:pPr>
    </w:p>
    <w:p w:rsidR="006976C6" w:rsidRPr="0061020E" w:rsidRDefault="006976C6" w:rsidP="008F6018">
      <w:pPr>
        <w:spacing w:after="120" w:line="240" w:lineRule="auto"/>
        <w:jc w:val="both"/>
        <w:rPr>
          <w:rFonts w:ascii="Rockwell" w:hAnsi="Rockwell"/>
          <w:sz w:val="24"/>
          <w:szCs w:val="24"/>
        </w:rPr>
      </w:pPr>
    </w:p>
    <w:p w:rsidR="008F2A77" w:rsidRDefault="008F2A77" w:rsidP="008F6018">
      <w:pPr>
        <w:spacing w:after="120" w:line="240" w:lineRule="auto"/>
        <w:jc w:val="both"/>
        <w:rPr>
          <w:rFonts w:ascii="Rockwell" w:hAnsi="Rockwell"/>
          <w:sz w:val="24"/>
          <w:szCs w:val="24"/>
        </w:rPr>
        <w:sectPr w:rsidR="008F2A77" w:rsidSect="00F05914">
          <w:pgSz w:w="11906" w:h="16838"/>
          <w:pgMar w:top="851" w:right="1247" w:bottom="851" w:left="1247" w:header="709" w:footer="709" w:gutter="0"/>
          <w:pgNumType w:start="1"/>
          <w:cols w:space="708"/>
          <w:titlePg/>
          <w:docGrid w:linePitch="360"/>
        </w:sectPr>
      </w:pPr>
    </w:p>
    <w:p w:rsidR="008F2A77" w:rsidRDefault="008F2A77" w:rsidP="008F6018">
      <w:pPr>
        <w:spacing w:after="120" w:line="240" w:lineRule="auto"/>
        <w:jc w:val="both"/>
        <w:rPr>
          <w:rFonts w:ascii="Rockwell" w:hAnsi="Rockwell"/>
          <w:sz w:val="24"/>
          <w:szCs w:val="24"/>
        </w:rPr>
        <w:sectPr w:rsidR="008F2A77" w:rsidSect="00F05914">
          <w:type w:val="continuous"/>
          <w:pgSz w:w="11906" w:h="16838"/>
          <w:pgMar w:top="851" w:right="1247" w:bottom="851" w:left="1247" w:header="709" w:footer="709" w:gutter="0"/>
          <w:cols w:space="708"/>
          <w:titlePg/>
          <w:docGrid w:linePitch="360"/>
        </w:sectPr>
      </w:pPr>
    </w:p>
    <w:p w:rsidR="00886F08" w:rsidRDefault="00B86DE7" w:rsidP="008F6018">
      <w:pPr>
        <w:pStyle w:val="Titre1"/>
        <w:spacing w:after="120"/>
        <w:jc w:val="both"/>
        <w:rPr>
          <w:rFonts w:ascii="Rockwell" w:hAnsi="Rockwell"/>
        </w:rPr>
      </w:pPr>
      <w:bookmarkStart w:id="696" w:name="_Toc503784938"/>
      <w:bookmarkStart w:id="697" w:name="_Toc505063344"/>
      <w:r w:rsidRPr="00B86DE7">
        <w:rPr>
          <w:rFonts w:ascii="Rockwell" w:hAnsi="Rockwell"/>
        </w:rPr>
        <w:lastRenderedPageBreak/>
        <w:t>BIBLIOGRAPHIE</w:t>
      </w:r>
      <w:bookmarkEnd w:id="696"/>
      <w:bookmarkEnd w:id="697"/>
    </w:p>
    <w:p w:rsidR="00B86DE7" w:rsidRPr="00B86DE7" w:rsidRDefault="00B86DE7" w:rsidP="008F6018">
      <w:pPr>
        <w:spacing w:after="120" w:line="240" w:lineRule="auto"/>
        <w:jc w:val="both"/>
        <w:rPr>
          <w:lang w:eastAsia="fr-FR"/>
        </w:rPr>
      </w:pP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[1] NF X 60-010, termes de maintenance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[2] ISO/IEC 17000:2004 Évaluation de la conformité -- Vocabulaire et principes généraux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[3] ISO/IEC GUIDE 2:2004 Normalisation et activités connexes — Vocabulaire général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[4] ISO 9000:2015 Systèmes de management de la qualité -- Principes essentiels et vocabulaire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[5] ISO/IEC 17025 : 2005 Exigences générales concernant la compétence des laboratoires d'étalonnages et d'essais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[6] ISO 9001 : 2008 Systèmes de management de la qualité- Exigences ;</w:t>
      </w:r>
    </w:p>
    <w:p w:rsidR="00886F08" w:rsidRPr="0061020E" w:rsidRDefault="00886F08" w:rsidP="008F6018">
      <w:pPr>
        <w:spacing w:after="120" w:line="240" w:lineRule="auto"/>
        <w:jc w:val="both"/>
        <w:rPr>
          <w:rFonts w:ascii="Rockwell" w:hAnsi="Rockwell"/>
          <w:sz w:val="24"/>
          <w:szCs w:val="24"/>
        </w:rPr>
      </w:pPr>
      <w:r w:rsidRPr="0061020E">
        <w:rPr>
          <w:rFonts w:ascii="Rockwell" w:hAnsi="Rockwell"/>
          <w:sz w:val="24"/>
          <w:szCs w:val="24"/>
        </w:rPr>
        <w:t>[7] INNORPI, 2014. Guide pour faciliter l'usage des normes dans les marchés publiques.</w:t>
      </w:r>
    </w:p>
    <w:p w:rsidR="006976C6" w:rsidRPr="0061020E" w:rsidRDefault="006976C6" w:rsidP="008F6018">
      <w:pPr>
        <w:spacing w:after="120" w:line="240" w:lineRule="auto"/>
        <w:jc w:val="both"/>
        <w:rPr>
          <w:rFonts w:ascii="Rockwell" w:hAnsi="Rockwell"/>
          <w:sz w:val="24"/>
          <w:szCs w:val="24"/>
        </w:rPr>
      </w:pPr>
    </w:p>
    <w:p w:rsidR="00F17859" w:rsidRPr="0061020E" w:rsidRDefault="00F17859" w:rsidP="008F6018">
      <w:pPr>
        <w:spacing w:after="120" w:line="240" w:lineRule="auto"/>
        <w:jc w:val="both"/>
        <w:rPr>
          <w:rFonts w:ascii="Rockwell" w:hAnsi="Rockwell"/>
          <w:sz w:val="24"/>
          <w:szCs w:val="24"/>
        </w:rPr>
      </w:pPr>
      <w:r w:rsidRPr="0061020E">
        <w:rPr>
          <w:rFonts w:ascii="Rockwell" w:hAnsi="Rockwell"/>
          <w:sz w:val="24"/>
          <w:szCs w:val="24"/>
        </w:rPr>
        <w:br w:type="page"/>
      </w:r>
    </w:p>
    <w:p w:rsidR="00F17859" w:rsidRPr="0061020E" w:rsidRDefault="008F2A77" w:rsidP="008F6018">
      <w:pPr>
        <w:spacing w:after="120" w:line="240" w:lineRule="auto"/>
        <w:jc w:val="both"/>
        <w:rPr>
          <w:rFonts w:ascii="Rockwell" w:eastAsia="Arial Unicode MS" w:hAnsi="Rockwell" w:cs="Arial"/>
          <w:b/>
          <w:sz w:val="24"/>
          <w:szCs w:val="24"/>
        </w:rPr>
      </w:pPr>
      <w:r>
        <w:rPr>
          <w:rFonts w:ascii="Rockwell" w:eastAsia="Arial Unicode MS" w:hAnsi="Rockwell" w:cs="Arial"/>
          <w:b/>
          <w:sz w:val="24"/>
          <w:szCs w:val="24"/>
        </w:rPr>
        <w:lastRenderedPageBreak/>
        <w:t>TABLE DES MATIERES</w:t>
      </w:r>
    </w:p>
    <w:p w:rsidR="00F17859" w:rsidRPr="0061020E" w:rsidRDefault="00F17859" w:rsidP="008F6018">
      <w:pPr>
        <w:pStyle w:val="TM1"/>
        <w:tabs>
          <w:tab w:val="right" w:leader="underscore" w:pos="9402"/>
        </w:tabs>
        <w:spacing w:before="0" w:after="120" w:line="240" w:lineRule="auto"/>
        <w:jc w:val="both"/>
        <w:rPr>
          <w:rFonts w:ascii="Rockwell" w:eastAsia="Arial Unicode MS" w:hAnsi="Rockwell" w:cs="Arial"/>
          <w:b w:val="0"/>
          <w:color w:val="999999"/>
        </w:rPr>
      </w:pPr>
    </w:p>
    <w:bookmarkStart w:id="698" w:name="_GoBack"/>
    <w:bookmarkEnd w:id="698"/>
    <w:p w:rsidR="00A858B0" w:rsidRDefault="00F17859">
      <w:pPr>
        <w:pStyle w:val="TM1"/>
        <w:tabs>
          <w:tab w:val="right" w:leader="underscore" w:pos="9402"/>
        </w:tabs>
        <w:rPr>
          <w:rFonts w:eastAsiaTheme="minorEastAsia"/>
          <w:b w:val="0"/>
          <w:bCs w:val="0"/>
          <w:i w:val="0"/>
          <w:iCs w:val="0"/>
          <w:noProof/>
          <w:sz w:val="22"/>
          <w:szCs w:val="22"/>
          <w:lang w:eastAsia="fr-FR"/>
        </w:rPr>
      </w:pPr>
      <w:r w:rsidRPr="0061020E">
        <w:rPr>
          <w:rFonts w:ascii="Rockwell" w:eastAsia="Arial Unicode MS" w:hAnsi="Rockwell" w:cs="Arial"/>
          <w:b w:val="0"/>
          <w:color w:val="999999"/>
        </w:rPr>
        <w:fldChar w:fldCharType="begin"/>
      </w:r>
      <w:r w:rsidRPr="0061020E">
        <w:rPr>
          <w:rFonts w:ascii="Rockwell" w:eastAsia="Arial Unicode MS" w:hAnsi="Rockwell" w:cs="Arial"/>
          <w:b w:val="0"/>
          <w:color w:val="999999"/>
        </w:rPr>
        <w:instrText xml:space="preserve"> TOC \o "1-4" \h \z \u </w:instrText>
      </w:r>
      <w:r w:rsidRPr="0061020E">
        <w:rPr>
          <w:rFonts w:ascii="Rockwell" w:eastAsia="Arial Unicode MS" w:hAnsi="Rockwell" w:cs="Arial"/>
          <w:b w:val="0"/>
          <w:color w:val="999999"/>
        </w:rPr>
        <w:fldChar w:fldCharType="separate"/>
      </w:r>
      <w:hyperlink w:anchor="_Toc505063253" w:history="1">
        <w:r w:rsidR="00A858B0" w:rsidRPr="002D4861">
          <w:rPr>
            <w:rStyle w:val="Lienhypertexte"/>
            <w:rFonts w:ascii="Rockwell" w:hAnsi="Rockwell"/>
            <w:noProof/>
          </w:rPr>
          <w:t>LISTE DES ABREVIATIONS</w:t>
        </w:r>
        <w:r w:rsidR="00A858B0">
          <w:rPr>
            <w:noProof/>
            <w:webHidden/>
          </w:rPr>
          <w:tab/>
        </w:r>
        <w:r w:rsidR="00A858B0">
          <w:rPr>
            <w:noProof/>
            <w:webHidden/>
          </w:rPr>
          <w:fldChar w:fldCharType="begin"/>
        </w:r>
        <w:r w:rsidR="00A858B0">
          <w:rPr>
            <w:noProof/>
            <w:webHidden/>
          </w:rPr>
          <w:instrText xml:space="preserve"> PAGEREF _Toc505063253 \h </w:instrText>
        </w:r>
        <w:r w:rsidR="00A858B0">
          <w:rPr>
            <w:noProof/>
            <w:webHidden/>
          </w:rPr>
        </w:r>
        <w:r w:rsidR="00A858B0">
          <w:rPr>
            <w:noProof/>
            <w:webHidden/>
          </w:rPr>
          <w:fldChar w:fldCharType="separate"/>
        </w:r>
        <w:r w:rsidR="00A858B0">
          <w:rPr>
            <w:noProof/>
            <w:webHidden/>
          </w:rPr>
          <w:t>V</w:t>
        </w:r>
        <w:r w:rsidR="00A858B0">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254" w:history="1">
        <w:r w:rsidRPr="002D4861">
          <w:rPr>
            <w:rStyle w:val="Lienhypertexte"/>
            <w:rFonts w:ascii="Rockwell" w:hAnsi="Rockwell"/>
            <w:noProof/>
          </w:rPr>
          <w:t>INTRODUCTION</w:t>
        </w:r>
        <w:r>
          <w:rPr>
            <w:noProof/>
            <w:webHidden/>
          </w:rPr>
          <w:tab/>
        </w:r>
        <w:r>
          <w:rPr>
            <w:noProof/>
            <w:webHidden/>
          </w:rPr>
          <w:fldChar w:fldCharType="begin"/>
        </w:r>
        <w:r>
          <w:rPr>
            <w:noProof/>
            <w:webHidden/>
          </w:rPr>
          <w:instrText xml:space="preserve"> PAGEREF _Toc505063254 \h </w:instrText>
        </w:r>
        <w:r>
          <w:rPr>
            <w:noProof/>
            <w:webHidden/>
          </w:rPr>
        </w:r>
        <w:r>
          <w:rPr>
            <w:noProof/>
            <w:webHidden/>
          </w:rPr>
          <w:fldChar w:fldCharType="separate"/>
        </w:r>
        <w:r>
          <w:rPr>
            <w:noProof/>
            <w:webHidden/>
          </w:rPr>
          <w:t>1</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255" w:history="1">
        <w:r w:rsidRPr="002D4861">
          <w:rPr>
            <w:rStyle w:val="Lienhypertexte"/>
            <w:rFonts w:ascii="Rockwell" w:hAnsi="Rockwell"/>
            <w:noProof/>
          </w:rPr>
          <w:t>Ière PARTIE - CONCEPTS DE LA QUALITE</w:t>
        </w:r>
        <w:r>
          <w:rPr>
            <w:noProof/>
            <w:webHidden/>
          </w:rPr>
          <w:tab/>
        </w:r>
        <w:r>
          <w:rPr>
            <w:noProof/>
            <w:webHidden/>
          </w:rPr>
          <w:fldChar w:fldCharType="begin"/>
        </w:r>
        <w:r>
          <w:rPr>
            <w:noProof/>
            <w:webHidden/>
          </w:rPr>
          <w:instrText xml:space="preserve"> PAGEREF _Toc505063255 \h </w:instrText>
        </w:r>
        <w:r>
          <w:rPr>
            <w:noProof/>
            <w:webHidden/>
          </w:rPr>
        </w:r>
        <w:r>
          <w:rPr>
            <w:noProof/>
            <w:webHidden/>
          </w:rPr>
          <w:fldChar w:fldCharType="separate"/>
        </w:r>
        <w:r>
          <w:rPr>
            <w:noProof/>
            <w:webHidden/>
          </w:rPr>
          <w:t>2</w:t>
        </w:r>
        <w:r>
          <w:rPr>
            <w:noProof/>
            <w:webHidden/>
          </w:rPr>
          <w:fldChar w:fldCharType="end"/>
        </w:r>
      </w:hyperlink>
    </w:p>
    <w:p w:rsidR="00A858B0" w:rsidRDefault="00A858B0">
      <w:pPr>
        <w:pStyle w:val="TM2"/>
        <w:tabs>
          <w:tab w:val="left" w:pos="660"/>
          <w:tab w:val="right" w:leader="underscore" w:pos="9402"/>
        </w:tabs>
        <w:rPr>
          <w:rFonts w:eastAsiaTheme="minorEastAsia"/>
          <w:b w:val="0"/>
          <w:bCs w:val="0"/>
          <w:noProof/>
          <w:lang w:eastAsia="fr-FR"/>
        </w:rPr>
      </w:pPr>
      <w:hyperlink w:anchor="_Toc505063256" w:history="1">
        <w:r w:rsidRPr="002D4861">
          <w:rPr>
            <w:rStyle w:val="Lienhypertexte"/>
            <w:rFonts w:ascii="Rockwell" w:hAnsi="Rockwell"/>
            <w:noProof/>
          </w:rPr>
          <w:t>I.</w:t>
        </w:r>
        <w:r>
          <w:rPr>
            <w:rFonts w:eastAsiaTheme="minorEastAsia"/>
            <w:b w:val="0"/>
            <w:bCs w:val="0"/>
            <w:noProof/>
            <w:lang w:eastAsia="fr-FR"/>
          </w:rPr>
          <w:tab/>
        </w:r>
        <w:r w:rsidRPr="002D4861">
          <w:rPr>
            <w:rStyle w:val="Lienhypertexte"/>
            <w:rFonts w:ascii="Rockwell" w:hAnsi="Rockwell"/>
            <w:noProof/>
          </w:rPr>
          <w:t>Généralités sur la qualité et l'assurance de la qualité</w:t>
        </w:r>
        <w:r>
          <w:rPr>
            <w:noProof/>
            <w:webHidden/>
          </w:rPr>
          <w:tab/>
        </w:r>
        <w:r>
          <w:rPr>
            <w:noProof/>
            <w:webHidden/>
          </w:rPr>
          <w:fldChar w:fldCharType="begin"/>
        </w:r>
        <w:r>
          <w:rPr>
            <w:noProof/>
            <w:webHidden/>
          </w:rPr>
          <w:instrText xml:space="preserve"> PAGEREF _Toc505063256 \h </w:instrText>
        </w:r>
        <w:r>
          <w:rPr>
            <w:noProof/>
            <w:webHidden/>
          </w:rPr>
        </w:r>
        <w:r>
          <w:rPr>
            <w:noProof/>
            <w:webHidden/>
          </w:rPr>
          <w:fldChar w:fldCharType="separate"/>
        </w:r>
        <w:r>
          <w:rPr>
            <w:noProof/>
            <w:webHidden/>
          </w:rPr>
          <w:t>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57"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La qualité</w:t>
        </w:r>
        <w:r>
          <w:rPr>
            <w:noProof/>
            <w:webHidden/>
          </w:rPr>
          <w:tab/>
        </w:r>
        <w:r>
          <w:rPr>
            <w:noProof/>
            <w:webHidden/>
          </w:rPr>
          <w:fldChar w:fldCharType="begin"/>
        </w:r>
        <w:r>
          <w:rPr>
            <w:noProof/>
            <w:webHidden/>
          </w:rPr>
          <w:instrText xml:space="preserve"> PAGEREF _Toc505063257 \h </w:instrText>
        </w:r>
        <w:r>
          <w:rPr>
            <w:noProof/>
            <w:webHidden/>
          </w:rPr>
        </w:r>
        <w:r>
          <w:rPr>
            <w:noProof/>
            <w:webHidden/>
          </w:rPr>
          <w:fldChar w:fldCharType="separate"/>
        </w:r>
        <w:r>
          <w:rPr>
            <w:noProof/>
            <w:webHidden/>
          </w:rPr>
          <w:t>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58"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Le management de la qualité</w:t>
        </w:r>
        <w:r>
          <w:rPr>
            <w:noProof/>
            <w:webHidden/>
          </w:rPr>
          <w:tab/>
        </w:r>
        <w:r>
          <w:rPr>
            <w:noProof/>
            <w:webHidden/>
          </w:rPr>
          <w:fldChar w:fldCharType="begin"/>
        </w:r>
        <w:r>
          <w:rPr>
            <w:noProof/>
            <w:webHidden/>
          </w:rPr>
          <w:instrText xml:space="preserve"> PAGEREF _Toc505063258 \h </w:instrText>
        </w:r>
        <w:r>
          <w:rPr>
            <w:noProof/>
            <w:webHidden/>
          </w:rPr>
        </w:r>
        <w:r>
          <w:rPr>
            <w:noProof/>
            <w:webHidden/>
          </w:rPr>
          <w:fldChar w:fldCharType="separate"/>
        </w:r>
        <w:r>
          <w:rPr>
            <w:noProof/>
            <w:webHidden/>
          </w:rPr>
          <w:t>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59"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La sûreté de fonctionnement</w:t>
        </w:r>
        <w:r>
          <w:rPr>
            <w:noProof/>
            <w:webHidden/>
          </w:rPr>
          <w:tab/>
        </w:r>
        <w:r>
          <w:rPr>
            <w:noProof/>
            <w:webHidden/>
          </w:rPr>
          <w:fldChar w:fldCharType="begin"/>
        </w:r>
        <w:r>
          <w:rPr>
            <w:noProof/>
            <w:webHidden/>
          </w:rPr>
          <w:instrText xml:space="preserve"> PAGEREF _Toc505063259 \h </w:instrText>
        </w:r>
        <w:r>
          <w:rPr>
            <w:noProof/>
            <w:webHidden/>
          </w:rPr>
        </w:r>
        <w:r>
          <w:rPr>
            <w:noProof/>
            <w:webHidden/>
          </w:rPr>
          <w:fldChar w:fldCharType="separate"/>
        </w:r>
        <w:r>
          <w:rPr>
            <w:noProof/>
            <w:webHidden/>
          </w:rPr>
          <w:t>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60"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Autres termes et définitions utiles</w:t>
        </w:r>
        <w:r>
          <w:rPr>
            <w:noProof/>
            <w:webHidden/>
          </w:rPr>
          <w:tab/>
        </w:r>
        <w:r>
          <w:rPr>
            <w:noProof/>
            <w:webHidden/>
          </w:rPr>
          <w:fldChar w:fldCharType="begin"/>
        </w:r>
        <w:r>
          <w:rPr>
            <w:noProof/>
            <w:webHidden/>
          </w:rPr>
          <w:instrText xml:space="preserve"> PAGEREF _Toc505063260 \h </w:instrText>
        </w:r>
        <w:r>
          <w:rPr>
            <w:noProof/>
            <w:webHidden/>
          </w:rPr>
        </w:r>
        <w:r>
          <w:rPr>
            <w:noProof/>
            <w:webHidden/>
          </w:rPr>
          <w:fldChar w:fldCharType="separate"/>
        </w:r>
        <w:r>
          <w:rPr>
            <w:noProof/>
            <w:webHidden/>
          </w:rPr>
          <w:t>3</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61" w:history="1">
        <w:r w:rsidRPr="002D4861">
          <w:rPr>
            <w:rStyle w:val="Lienhypertexte"/>
            <w:rFonts w:ascii="Rockwell" w:hAnsi="Rockwell"/>
            <w:noProof/>
          </w:rPr>
          <w:t>II.</w:t>
        </w:r>
        <w:r>
          <w:rPr>
            <w:rFonts w:eastAsiaTheme="minorEastAsia"/>
            <w:b w:val="0"/>
            <w:bCs w:val="0"/>
            <w:noProof/>
            <w:lang w:eastAsia="fr-FR"/>
          </w:rPr>
          <w:tab/>
        </w:r>
        <w:r w:rsidRPr="002D4861">
          <w:rPr>
            <w:rStyle w:val="Lienhypertexte"/>
            <w:rFonts w:ascii="Rockwell" w:hAnsi="Rockwell"/>
            <w:noProof/>
          </w:rPr>
          <w:t>Contexte général de la réglementation, de la normalisation et de la certification</w:t>
        </w:r>
        <w:r>
          <w:rPr>
            <w:noProof/>
            <w:webHidden/>
          </w:rPr>
          <w:tab/>
        </w:r>
        <w:r>
          <w:rPr>
            <w:noProof/>
            <w:webHidden/>
          </w:rPr>
          <w:fldChar w:fldCharType="begin"/>
        </w:r>
        <w:r>
          <w:rPr>
            <w:noProof/>
            <w:webHidden/>
          </w:rPr>
          <w:instrText xml:space="preserve"> PAGEREF _Toc505063261 \h </w:instrText>
        </w:r>
        <w:r>
          <w:rPr>
            <w:noProof/>
            <w:webHidden/>
          </w:rPr>
        </w:r>
        <w:r>
          <w:rPr>
            <w:noProof/>
            <w:webHidden/>
          </w:rPr>
          <w:fldChar w:fldCharType="separate"/>
        </w:r>
        <w:r>
          <w:rPr>
            <w:noProof/>
            <w:webHidden/>
          </w:rPr>
          <w:t>5</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62"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État des lieux de l’infrastructure qualité</w:t>
        </w:r>
        <w:r>
          <w:rPr>
            <w:noProof/>
            <w:webHidden/>
          </w:rPr>
          <w:tab/>
        </w:r>
        <w:r>
          <w:rPr>
            <w:noProof/>
            <w:webHidden/>
          </w:rPr>
          <w:fldChar w:fldCharType="begin"/>
        </w:r>
        <w:r>
          <w:rPr>
            <w:noProof/>
            <w:webHidden/>
          </w:rPr>
          <w:instrText xml:space="preserve"> PAGEREF _Toc505063262 \h </w:instrText>
        </w:r>
        <w:r>
          <w:rPr>
            <w:noProof/>
            <w:webHidden/>
          </w:rPr>
        </w:r>
        <w:r>
          <w:rPr>
            <w:noProof/>
            <w:webHidden/>
          </w:rPr>
          <w:fldChar w:fldCharType="separate"/>
        </w:r>
        <w:r>
          <w:rPr>
            <w:noProof/>
            <w:webHidden/>
          </w:rPr>
          <w:t>5</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63"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Cadre juridique et institutionnel de l’infrastructure qualité au Burkina Faso</w:t>
        </w:r>
        <w:r>
          <w:rPr>
            <w:noProof/>
            <w:webHidden/>
          </w:rPr>
          <w:tab/>
        </w:r>
        <w:r>
          <w:rPr>
            <w:noProof/>
            <w:webHidden/>
          </w:rPr>
          <w:fldChar w:fldCharType="begin"/>
        </w:r>
        <w:r>
          <w:rPr>
            <w:noProof/>
            <w:webHidden/>
          </w:rPr>
          <w:instrText xml:space="preserve"> PAGEREF _Toc505063263 \h </w:instrText>
        </w:r>
        <w:r>
          <w:rPr>
            <w:noProof/>
            <w:webHidden/>
          </w:rPr>
        </w:r>
        <w:r>
          <w:rPr>
            <w:noProof/>
            <w:webHidden/>
          </w:rPr>
          <w:fldChar w:fldCharType="separate"/>
        </w:r>
        <w:r>
          <w:rPr>
            <w:noProof/>
            <w:webHidden/>
          </w:rPr>
          <w:t>6</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264" w:history="1">
        <w:r w:rsidRPr="002D4861">
          <w:rPr>
            <w:rStyle w:val="Lienhypertexte"/>
            <w:rFonts w:ascii="Rockwell" w:hAnsi="Rockwell"/>
            <w:noProof/>
          </w:rPr>
          <w:t>a)</w:t>
        </w:r>
        <w:r>
          <w:rPr>
            <w:rFonts w:eastAsiaTheme="minorEastAsia"/>
            <w:noProof/>
            <w:sz w:val="22"/>
            <w:szCs w:val="22"/>
            <w:lang w:eastAsia="fr-FR"/>
          </w:rPr>
          <w:tab/>
        </w:r>
        <w:r w:rsidRPr="002D4861">
          <w:rPr>
            <w:rStyle w:val="Lienhypertexte"/>
            <w:rFonts w:ascii="Rockwell" w:hAnsi="Rockwell"/>
            <w:noProof/>
          </w:rPr>
          <w:t>Cadre juridique</w:t>
        </w:r>
        <w:r>
          <w:rPr>
            <w:noProof/>
            <w:webHidden/>
          </w:rPr>
          <w:tab/>
        </w:r>
        <w:r>
          <w:rPr>
            <w:noProof/>
            <w:webHidden/>
          </w:rPr>
          <w:fldChar w:fldCharType="begin"/>
        </w:r>
        <w:r>
          <w:rPr>
            <w:noProof/>
            <w:webHidden/>
          </w:rPr>
          <w:instrText xml:space="preserve"> PAGEREF _Toc505063264 \h </w:instrText>
        </w:r>
        <w:r>
          <w:rPr>
            <w:noProof/>
            <w:webHidden/>
          </w:rPr>
        </w:r>
        <w:r>
          <w:rPr>
            <w:noProof/>
            <w:webHidden/>
          </w:rPr>
          <w:fldChar w:fldCharType="separate"/>
        </w:r>
        <w:r>
          <w:rPr>
            <w:noProof/>
            <w:webHidden/>
          </w:rPr>
          <w:t>6</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265" w:history="1">
        <w:r w:rsidRPr="002D4861">
          <w:rPr>
            <w:rStyle w:val="Lienhypertexte"/>
            <w:rFonts w:ascii="Rockwell" w:hAnsi="Rockwell"/>
            <w:noProof/>
          </w:rPr>
          <w:t>b)</w:t>
        </w:r>
        <w:r>
          <w:rPr>
            <w:rFonts w:eastAsiaTheme="minorEastAsia"/>
            <w:noProof/>
            <w:sz w:val="22"/>
            <w:szCs w:val="22"/>
            <w:lang w:eastAsia="fr-FR"/>
          </w:rPr>
          <w:tab/>
        </w:r>
        <w:r w:rsidRPr="002D4861">
          <w:rPr>
            <w:rStyle w:val="Lienhypertexte"/>
            <w:rFonts w:ascii="Rockwell" w:hAnsi="Rockwell"/>
            <w:noProof/>
          </w:rPr>
          <w:t>Textes internationaux</w:t>
        </w:r>
        <w:r>
          <w:rPr>
            <w:noProof/>
            <w:webHidden/>
          </w:rPr>
          <w:tab/>
        </w:r>
        <w:r>
          <w:rPr>
            <w:noProof/>
            <w:webHidden/>
          </w:rPr>
          <w:fldChar w:fldCharType="begin"/>
        </w:r>
        <w:r>
          <w:rPr>
            <w:noProof/>
            <w:webHidden/>
          </w:rPr>
          <w:instrText xml:space="preserve"> PAGEREF _Toc505063265 \h </w:instrText>
        </w:r>
        <w:r>
          <w:rPr>
            <w:noProof/>
            <w:webHidden/>
          </w:rPr>
        </w:r>
        <w:r>
          <w:rPr>
            <w:noProof/>
            <w:webHidden/>
          </w:rPr>
          <w:fldChar w:fldCharType="separate"/>
        </w:r>
        <w:r>
          <w:rPr>
            <w:noProof/>
            <w:webHidden/>
          </w:rPr>
          <w:t>6</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266" w:history="1">
        <w:r w:rsidRPr="002D4861">
          <w:rPr>
            <w:rStyle w:val="Lienhypertexte"/>
            <w:rFonts w:ascii="Rockwell" w:hAnsi="Rockwell"/>
            <w:noProof/>
          </w:rPr>
          <w:t>c)</w:t>
        </w:r>
        <w:r>
          <w:rPr>
            <w:rFonts w:eastAsiaTheme="minorEastAsia"/>
            <w:noProof/>
            <w:sz w:val="22"/>
            <w:szCs w:val="22"/>
            <w:lang w:eastAsia="fr-FR"/>
          </w:rPr>
          <w:tab/>
        </w:r>
        <w:r w:rsidRPr="002D4861">
          <w:rPr>
            <w:rStyle w:val="Lienhypertexte"/>
            <w:rFonts w:ascii="Rockwell" w:hAnsi="Rockwell"/>
            <w:noProof/>
          </w:rPr>
          <w:t>Textes communautaires</w:t>
        </w:r>
        <w:r>
          <w:rPr>
            <w:noProof/>
            <w:webHidden/>
          </w:rPr>
          <w:tab/>
        </w:r>
        <w:r>
          <w:rPr>
            <w:noProof/>
            <w:webHidden/>
          </w:rPr>
          <w:fldChar w:fldCharType="begin"/>
        </w:r>
        <w:r>
          <w:rPr>
            <w:noProof/>
            <w:webHidden/>
          </w:rPr>
          <w:instrText xml:space="preserve"> PAGEREF _Toc505063266 \h </w:instrText>
        </w:r>
        <w:r>
          <w:rPr>
            <w:noProof/>
            <w:webHidden/>
          </w:rPr>
        </w:r>
        <w:r>
          <w:rPr>
            <w:noProof/>
            <w:webHidden/>
          </w:rPr>
          <w:fldChar w:fldCharType="separate"/>
        </w:r>
        <w:r>
          <w:rPr>
            <w:noProof/>
            <w:webHidden/>
          </w:rPr>
          <w:t>7</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267" w:history="1">
        <w:r w:rsidRPr="002D4861">
          <w:rPr>
            <w:rStyle w:val="Lienhypertexte"/>
            <w:rFonts w:ascii="Rockwell" w:hAnsi="Rockwell"/>
            <w:noProof/>
          </w:rPr>
          <w:t>d)</w:t>
        </w:r>
        <w:r>
          <w:rPr>
            <w:rFonts w:eastAsiaTheme="minorEastAsia"/>
            <w:noProof/>
            <w:sz w:val="22"/>
            <w:szCs w:val="22"/>
            <w:lang w:eastAsia="fr-FR"/>
          </w:rPr>
          <w:tab/>
        </w:r>
        <w:r w:rsidRPr="002D4861">
          <w:rPr>
            <w:rStyle w:val="Lienhypertexte"/>
            <w:rFonts w:ascii="Rockwell" w:hAnsi="Rockwell"/>
            <w:noProof/>
          </w:rPr>
          <w:t>Textes nationaux</w:t>
        </w:r>
        <w:r>
          <w:rPr>
            <w:noProof/>
            <w:webHidden/>
          </w:rPr>
          <w:tab/>
        </w:r>
        <w:r>
          <w:rPr>
            <w:noProof/>
            <w:webHidden/>
          </w:rPr>
          <w:fldChar w:fldCharType="begin"/>
        </w:r>
        <w:r>
          <w:rPr>
            <w:noProof/>
            <w:webHidden/>
          </w:rPr>
          <w:instrText xml:space="preserve"> PAGEREF _Toc505063267 \h </w:instrText>
        </w:r>
        <w:r>
          <w:rPr>
            <w:noProof/>
            <w:webHidden/>
          </w:rPr>
        </w:r>
        <w:r>
          <w:rPr>
            <w:noProof/>
            <w:webHidden/>
          </w:rPr>
          <w:fldChar w:fldCharType="separate"/>
        </w:r>
        <w:r>
          <w:rPr>
            <w:noProof/>
            <w:webHidden/>
          </w:rPr>
          <w:t>7</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268" w:history="1">
        <w:r w:rsidRPr="002D4861">
          <w:rPr>
            <w:rStyle w:val="Lienhypertexte"/>
            <w:rFonts w:ascii="Rockwell" w:hAnsi="Rockwell"/>
            <w:noProof/>
          </w:rPr>
          <w:t>IIème PARTIE - CONSEILS PRATIQUES A L'ACHETEUR PUBLIC</w:t>
        </w:r>
        <w:r>
          <w:rPr>
            <w:noProof/>
            <w:webHidden/>
          </w:rPr>
          <w:tab/>
        </w:r>
        <w:r>
          <w:rPr>
            <w:noProof/>
            <w:webHidden/>
          </w:rPr>
          <w:fldChar w:fldCharType="begin"/>
        </w:r>
        <w:r>
          <w:rPr>
            <w:noProof/>
            <w:webHidden/>
          </w:rPr>
          <w:instrText xml:space="preserve"> PAGEREF _Toc505063268 \h </w:instrText>
        </w:r>
        <w:r>
          <w:rPr>
            <w:noProof/>
            <w:webHidden/>
          </w:rPr>
        </w:r>
        <w:r>
          <w:rPr>
            <w:noProof/>
            <w:webHidden/>
          </w:rPr>
          <w:fldChar w:fldCharType="separate"/>
        </w:r>
        <w:r>
          <w:rPr>
            <w:noProof/>
            <w:webHidden/>
          </w:rPr>
          <w:t>9</w:t>
        </w:r>
        <w:r>
          <w:rPr>
            <w:noProof/>
            <w:webHidden/>
          </w:rPr>
          <w:fldChar w:fldCharType="end"/>
        </w:r>
      </w:hyperlink>
    </w:p>
    <w:p w:rsidR="00A858B0" w:rsidRDefault="00A858B0">
      <w:pPr>
        <w:pStyle w:val="TM2"/>
        <w:tabs>
          <w:tab w:val="left" w:pos="660"/>
          <w:tab w:val="right" w:leader="underscore" w:pos="9402"/>
        </w:tabs>
        <w:rPr>
          <w:rFonts w:eastAsiaTheme="minorEastAsia"/>
          <w:b w:val="0"/>
          <w:bCs w:val="0"/>
          <w:noProof/>
          <w:lang w:eastAsia="fr-FR"/>
        </w:rPr>
      </w:pPr>
      <w:hyperlink w:anchor="_Toc505063269" w:history="1">
        <w:r w:rsidRPr="002D4861">
          <w:rPr>
            <w:rStyle w:val="Lienhypertexte"/>
            <w:rFonts w:ascii="Rockwell" w:hAnsi="Rockwell"/>
            <w:noProof/>
          </w:rPr>
          <w:t>I.</w:t>
        </w:r>
        <w:r>
          <w:rPr>
            <w:rFonts w:eastAsiaTheme="minorEastAsia"/>
            <w:b w:val="0"/>
            <w:bCs w:val="0"/>
            <w:noProof/>
            <w:lang w:eastAsia="fr-FR"/>
          </w:rPr>
          <w:tab/>
        </w:r>
        <w:r w:rsidRPr="002D4861">
          <w:rPr>
            <w:rStyle w:val="Lienhypertexte"/>
            <w:rFonts w:ascii="Rockwell" w:hAnsi="Rockwell"/>
            <w:noProof/>
          </w:rPr>
          <w:t>Introduction</w:t>
        </w:r>
        <w:r>
          <w:rPr>
            <w:noProof/>
            <w:webHidden/>
          </w:rPr>
          <w:tab/>
        </w:r>
        <w:r>
          <w:rPr>
            <w:noProof/>
            <w:webHidden/>
          </w:rPr>
          <w:fldChar w:fldCharType="begin"/>
        </w:r>
        <w:r>
          <w:rPr>
            <w:noProof/>
            <w:webHidden/>
          </w:rPr>
          <w:instrText xml:space="preserve"> PAGEREF _Toc505063269 \h </w:instrText>
        </w:r>
        <w:r>
          <w:rPr>
            <w:noProof/>
            <w:webHidden/>
          </w:rPr>
        </w:r>
        <w:r>
          <w:rPr>
            <w:noProof/>
            <w:webHidden/>
          </w:rPr>
          <w:fldChar w:fldCharType="separate"/>
        </w:r>
        <w:r>
          <w:rPr>
            <w:noProof/>
            <w:webHidden/>
          </w:rPr>
          <w:t>9</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70" w:history="1">
        <w:r w:rsidRPr="002D4861">
          <w:rPr>
            <w:rStyle w:val="Lienhypertexte"/>
            <w:rFonts w:ascii="Rockwell" w:hAnsi="Rockwell"/>
            <w:noProof/>
          </w:rPr>
          <w:t>II.</w:t>
        </w:r>
        <w:r>
          <w:rPr>
            <w:rFonts w:eastAsiaTheme="minorEastAsia"/>
            <w:b w:val="0"/>
            <w:bCs w:val="0"/>
            <w:noProof/>
            <w:lang w:eastAsia="fr-FR"/>
          </w:rPr>
          <w:tab/>
        </w:r>
        <w:r w:rsidRPr="002D4861">
          <w:rPr>
            <w:rStyle w:val="Lienhypertexte"/>
            <w:rFonts w:ascii="Rockwell" w:hAnsi="Rockwell"/>
            <w:noProof/>
          </w:rPr>
          <w:t>Phases de passation</w:t>
        </w:r>
        <w:r>
          <w:rPr>
            <w:noProof/>
            <w:webHidden/>
          </w:rPr>
          <w:tab/>
        </w:r>
        <w:r>
          <w:rPr>
            <w:noProof/>
            <w:webHidden/>
          </w:rPr>
          <w:fldChar w:fldCharType="begin"/>
        </w:r>
        <w:r>
          <w:rPr>
            <w:noProof/>
            <w:webHidden/>
          </w:rPr>
          <w:instrText xml:space="preserve"> PAGEREF _Toc505063270 \h </w:instrText>
        </w:r>
        <w:r>
          <w:rPr>
            <w:noProof/>
            <w:webHidden/>
          </w:rPr>
        </w:r>
        <w:r>
          <w:rPr>
            <w:noProof/>
            <w:webHidden/>
          </w:rPr>
          <w:fldChar w:fldCharType="separate"/>
        </w:r>
        <w:r>
          <w:rPr>
            <w:noProof/>
            <w:webHidden/>
          </w:rPr>
          <w:t>9</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71" w:history="1">
        <w:r w:rsidRPr="002D4861">
          <w:rPr>
            <w:rStyle w:val="Lienhypertexte"/>
            <w:rFonts w:ascii="Rockwell" w:hAnsi="Rockwell"/>
            <w:noProof/>
          </w:rPr>
          <w:t>III.</w:t>
        </w:r>
        <w:r>
          <w:rPr>
            <w:rFonts w:eastAsiaTheme="minorEastAsia"/>
            <w:b w:val="0"/>
            <w:bCs w:val="0"/>
            <w:noProof/>
            <w:lang w:eastAsia="fr-FR"/>
          </w:rPr>
          <w:tab/>
        </w:r>
        <w:r w:rsidRPr="002D4861">
          <w:rPr>
            <w:rStyle w:val="Lienhypertexte"/>
            <w:rFonts w:ascii="Rockwell" w:hAnsi="Rockwell"/>
            <w:noProof/>
          </w:rPr>
          <w:t>Exigences de conformité : preuve de la conformité du produit et assurance de la qualité</w:t>
        </w:r>
        <w:r>
          <w:rPr>
            <w:noProof/>
            <w:webHidden/>
          </w:rPr>
          <w:tab/>
        </w:r>
        <w:r>
          <w:rPr>
            <w:noProof/>
            <w:webHidden/>
          </w:rPr>
          <w:fldChar w:fldCharType="begin"/>
        </w:r>
        <w:r>
          <w:rPr>
            <w:noProof/>
            <w:webHidden/>
          </w:rPr>
          <w:instrText xml:space="preserve"> PAGEREF _Toc505063271 \h </w:instrText>
        </w:r>
        <w:r>
          <w:rPr>
            <w:noProof/>
            <w:webHidden/>
          </w:rPr>
        </w:r>
        <w:r>
          <w:rPr>
            <w:noProof/>
            <w:webHidden/>
          </w:rPr>
          <w:fldChar w:fldCharType="separate"/>
        </w:r>
        <w:r>
          <w:rPr>
            <w:noProof/>
            <w:webHidden/>
          </w:rPr>
          <w:t>10</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2"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Principales options possibles pour les exigences en matière de preuve de la conformité du produit</w:t>
        </w:r>
        <w:r>
          <w:rPr>
            <w:noProof/>
            <w:webHidden/>
          </w:rPr>
          <w:tab/>
        </w:r>
        <w:r>
          <w:rPr>
            <w:noProof/>
            <w:webHidden/>
          </w:rPr>
          <w:fldChar w:fldCharType="begin"/>
        </w:r>
        <w:r>
          <w:rPr>
            <w:noProof/>
            <w:webHidden/>
          </w:rPr>
          <w:instrText xml:space="preserve"> PAGEREF _Toc505063272 \h </w:instrText>
        </w:r>
        <w:r>
          <w:rPr>
            <w:noProof/>
            <w:webHidden/>
          </w:rPr>
        </w:r>
        <w:r>
          <w:rPr>
            <w:noProof/>
            <w:webHidden/>
          </w:rPr>
          <w:fldChar w:fldCharType="separate"/>
        </w:r>
        <w:r>
          <w:rPr>
            <w:noProof/>
            <w:webHidden/>
          </w:rPr>
          <w:t>11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3"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Principales options possibles pour les exigences en matière d'assurance de la qualité</w:t>
        </w:r>
        <w:r>
          <w:rPr>
            <w:noProof/>
            <w:webHidden/>
          </w:rPr>
          <w:tab/>
        </w:r>
        <w:r>
          <w:rPr>
            <w:noProof/>
            <w:webHidden/>
          </w:rPr>
          <w:fldChar w:fldCharType="begin"/>
        </w:r>
        <w:r>
          <w:rPr>
            <w:noProof/>
            <w:webHidden/>
          </w:rPr>
          <w:instrText xml:space="preserve"> PAGEREF _Toc505063273 \h </w:instrText>
        </w:r>
        <w:r>
          <w:rPr>
            <w:noProof/>
            <w:webHidden/>
          </w:rPr>
        </w:r>
        <w:r>
          <w:rPr>
            <w:noProof/>
            <w:webHidden/>
          </w:rPr>
          <w:fldChar w:fldCharType="separate"/>
        </w:r>
        <w:r>
          <w:rPr>
            <w:noProof/>
            <w:webHidden/>
          </w:rPr>
          <w:t>11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4"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Choix des exigences de conformité : preuve de la conformité du produit et assurance de la qualité</w:t>
        </w:r>
        <w:r>
          <w:rPr>
            <w:noProof/>
            <w:webHidden/>
          </w:rPr>
          <w:tab/>
        </w:r>
        <w:r>
          <w:rPr>
            <w:noProof/>
            <w:webHidden/>
          </w:rPr>
          <w:fldChar w:fldCharType="begin"/>
        </w:r>
        <w:r>
          <w:rPr>
            <w:noProof/>
            <w:webHidden/>
          </w:rPr>
          <w:instrText xml:space="preserve"> PAGEREF _Toc505063274 \h </w:instrText>
        </w:r>
        <w:r>
          <w:rPr>
            <w:noProof/>
            <w:webHidden/>
          </w:rPr>
        </w:r>
        <w:r>
          <w:rPr>
            <w:noProof/>
            <w:webHidden/>
          </w:rPr>
          <w:fldChar w:fldCharType="separate"/>
        </w:r>
        <w:r>
          <w:rPr>
            <w:noProof/>
            <w:webHidden/>
          </w:rPr>
          <w:t>12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5"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Expression des exigences de conformité</w:t>
        </w:r>
        <w:r>
          <w:rPr>
            <w:noProof/>
            <w:webHidden/>
          </w:rPr>
          <w:tab/>
        </w:r>
        <w:r>
          <w:rPr>
            <w:noProof/>
            <w:webHidden/>
          </w:rPr>
          <w:fldChar w:fldCharType="begin"/>
        </w:r>
        <w:r>
          <w:rPr>
            <w:noProof/>
            <w:webHidden/>
          </w:rPr>
          <w:instrText xml:space="preserve"> PAGEREF _Toc505063275 \h </w:instrText>
        </w:r>
        <w:r>
          <w:rPr>
            <w:noProof/>
            <w:webHidden/>
          </w:rPr>
        </w:r>
        <w:r>
          <w:rPr>
            <w:noProof/>
            <w:webHidden/>
          </w:rPr>
          <w:fldChar w:fldCharType="separate"/>
        </w:r>
        <w:r>
          <w:rPr>
            <w:noProof/>
            <w:webHidden/>
          </w:rPr>
          <w:t>12</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6" w:history="1">
        <w:r w:rsidRPr="002D4861">
          <w:rPr>
            <w:rStyle w:val="Lienhypertexte"/>
            <w:rFonts w:ascii="Rockwell" w:hAnsi="Rockwell"/>
            <w:noProof/>
          </w:rPr>
          <w:t>5.</w:t>
        </w:r>
        <w:r>
          <w:rPr>
            <w:rFonts w:eastAsiaTheme="minorEastAsia"/>
            <w:noProof/>
            <w:sz w:val="22"/>
            <w:szCs w:val="22"/>
            <w:lang w:eastAsia="fr-FR"/>
          </w:rPr>
          <w:tab/>
        </w:r>
        <w:r w:rsidRPr="002D4861">
          <w:rPr>
            <w:rStyle w:val="Lienhypertexte"/>
            <w:rFonts w:ascii="Rockwell" w:hAnsi="Rockwell"/>
            <w:noProof/>
          </w:rPr>
          <w:t>Sélection des candidats</w:t>
        </w:r>
        <w:r>
          <w:rPr>
            <w:noProof/>
            <w:webHidden/>
          </w:rPr>
          <w:tab/>
        </w:r>
        <w:r>
          <w:rPr>
            <w:noProof/>
            <w:webHidden/>
          </w:rPr>
          <w:fldChar w:fldCharType="begin"/>
        </w:r>
        <w:r>
          <w:rPr>
            <w:noProof/>
            <w:webHidden/>
          </w:rPr>
          <w:instrText xml:space="preserve"> PAGEREF _Toc505063276 \h </w:instrText>
        </w:r>
        <w:r>
          <w:rPr>
            <w:noProof/>
            <w:webHidden/>
          </w:rPr>
        </w:r>
        <w:r>
          <w:rPr>
            <w:noProof/>
            <w:webHidden/>
          </w:rPr>
          <w:fldChar w:fldCharType="separate"/>
        </w:r>
        <w:r>
          <w:rPr>
            <w:noProof/>
            <w:webHidden/>
          </w:rPr>
          <w:t>13</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7" w:history="1">
        <w:r w:rsidRPr="002D4861">
          <w:rPr>
            <w:rStyle w:val="Lienhypertexte"/>
            <w:rFonts w:ascii="Rockwell" w:hAnsi="Rockwell"/>
            <w:noProof/>
          </w:rPr>
          <w:t>6.</w:t>
        </w:r>
        <w:r>
          <w:rPr>
            <w:rFonts w:eastAsiaTheme="minorEastAsia"/>
            <w:noProof/>
            <w:sz w:val="22"/>
            <w:szCs w:val="22"/>
            <w:lang w:eastAsia="fr-FR"/>
          </w:rPr>
          <w:tab/>
        </w:r>
        <w:r w:rsidRPr="002D4861">
          <w:rPr>
            <w:rStyle w:val="Lienhypertexte"/>
            <w:rFonts w:ascii="Rockwell" w:hAnsi="Rockwell"/>
            <w:noProof/>
          </w:rPr>
          <w:t>Conditions à remplir sur la conformité</w:t>
        </w:r>
        <w:r>
          <w:rPr>
            <w:noProof/>
            <w:webHidden/>
          </w:rPr>
          <w:tab/>
        </w:r>
        <w:r>
          <w:rPr>
            <w:noProof/>
            <w:webHidden/>
          </w:rPr>
          <w:fldChar w:fldCharType="begin"/>
        </w:r>
        <w:r>
          <w:rPr>
            <w:noProof/>
            <w:webHidden/>
          </w:rPr>
          <w:instrText xml:space="preserve"> PAGEREF _Toc505063277 \h </w:instrText>
        </w:r>
        <w:r>
          <w:rPr>
            <w:noProof/>
            <w:webHidden/>
          </w:rPr>
        </w:r>
        <w:r>
          <w:rPr>
            <w:noProof/>
            <w:webHidden/>
          </w:rPr>
          <w:fldChar w:fldCharType="separate"/>
        </w:r>
        <w:r>
          <w:rPr>
            <w:noProof/>
            <w:webHidden/>
          </w:rPr>
          <w:t>13</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8" w:history="1">
        <w:r w:rsidRPr="002D4861">
          <w:rPr>
            <w:rStyle w:val="Lienhypertexte"/>
            <w:rFonts w:ascii="Rockwell" w:hAnsi="Rockwell"/>
            <w:noProof/>
          </w:rPr>
          <w:t>7.</w:t>
        </w:r>
        <w:r>
          <w:rPr>
            <w:rFonts w:eastAsiaTheme="minorEastAsia"/>
            <w:noProof/>
            <w:sz w:val="22"/>
            <w:szCs w:val="22"/>
            <w:lang w:eastAsia="fr-FR"/>
          </w:rPr>
          <w:tab/>
        </w:r>
        <w:r w:rsidRPr="002D4861">
          <w:rPr>
            <w:rStyle w:val="Lienhypertexte"/>
            <w:rFonts w:ascii="Rockwell" w:hAnsi="Rockwell"/>
            <w:noProof/>
          </w:rPr>
          <w:t>Appréciation des certificats et justifications</w:t>
        </w:r>
        <w:r>
          <w:rPr>
            <w:noProof/>
            <w:webHidden/>
          </w:rPr>
          <w:tab/>
        </w:r>
        <w:r>
          <w:rPr>
            <w:noProof/>
            <w:webHidden/>
          </w:rPr>
          <w:fldChar w:fldCharType="begin"/>
        </w:r>
        <w:r>
          <w:rPr>
            <w:noProof/>
            <w:webHidden/>
          </w:rPr>
          <w:instrText xml:space="preserve"> PAGEREF _Toc505063278 \h </w:instrText>
        </w:r>
        <w:r>
          <w:rPr>
            <w:noProof/>
            <w:webHidden/>
          </w:rPr>
        </w:r>
        <w:r>
          <w:rPr>
            <w:noProof/>
            <w:webHidden/>
          </w:rPr>
          <w:fldChar w:fldCharType="separate"/>
        </w:r>
        <w:r>
          <w:rPr>
            <w:noProof/>
            <w:webHidden/>
          </w:rPr>
          <w:t>14</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79" w:history="1">
        <w:r w:rsidRPr="002D4861">
          <w:rPr>
            <w:rStyle w:val="Lienhypertexte"/>
            <w:rFonts w:ascii="Rockwell" w:hAnsi="Rockwell"/>
            <w:noProof/>
          </w:rPr>
          <w:t>8.</w:t>
        </w:r>
        <w:r>
          <w:rPr>
            <w:rFonts w:eastAsiaTheme="minorEastAsia"/>
            <w:noProof/>
            <w:sz w:val="22"/>
            <w:szCs w:val="22"/>
            <w:lang w:eastAsia="fr-FR"/>
          </w:rPr>
          <w:tab/>
        </w:r>
        <w:r w:rsidRPr="002D4861">
          <w:rPr>
            <w:rStyle w:val="Lienhypertexte"/>
            <w:rFonts w:ascii="Rockwell" w:hAnsi="Rockwell"/>
            <w:noProof/>
          </w:rPr>
          <w:t>Évaluation des offres</w:t>
        </w:r>
        <w:r>
          <w:rPr>
            <w:noProof/>
            <w:webHidden/>
          </w:rPr>
          <w:tab/>
        </w:r>
        <w:r>
          <w:rPr>
            <w:noProof/>
            <w:webHidden/>
          </w:rPr>
          <w:fldChar w:fldCharType="begin"/>
        </w:r>
        <w:r>
          <w:rPr>
            <w:noProof/>
            <w:webHidden/>
          </w:rPr>
          <w:instrText xml:space="preserve"> PAGEREF _Toc505063279 \h </w:instrText>
        </w:r>
        <w:r>
          <w:rPr>
            <w:noProof/>
            <w:webHidden/>
          </w:rPr>
        </w:r>
        <w:r>
          <w:rPr>
            <w:noProof/>
            <w:webHidden/>
          </w:rPr>
          <w:fldChar w:fldCharType="separate"/>
        </w:r>
        <w:r>
          <w:rPr>
            <w:noProof/>
            <w:webHidden/>
          </w:rPr>
          <w:t>15</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80" w:history="1">
        <w:r w:rsidRPr="002D4861">
          <w:rPr>
            <w:rStyle w:val="Lienhypertexte"/>
            <w:rFonts w:ascii="Rockwell" w:hAnsi="Rockwell"/>
            <w:noProof/>
          </w:rPr>
          <w:t>IV.</w:t>
        </w:r>
        <w:r>
          <w:rPr>
            <w:rFonts w:eastAsiaTheme="minorEastAsia"/>
            <w:b w:val="0"/>
            <w:bCs w:val="0"/>
            <w:noProof/>
            <w:lang w:eastAsia="fr-FR"/>
          </w:rPr>
          <w:tab/>
        </w:r>
        <w:r w:rsidRPr="002D4861">
          <w:rPr>
            <w:rStyle w:val="Lienhypertexte"/>
            <w:rFonts w:ascii="Rockwell" w:hAnsi="Rockwell"/>
            <w:noProof/>
          </w:rPr>
          <w:t>Surveillance en cours de réalisation</w:t>
        </w:r>
        <w:r>
          <w:rPr>
            <w:noProof/>
            <w:webHidden/>
          </w:rPr>
          <w:tab/>
        </w:r>
        <w:r>
          <w:rPr>
            <w:noProof/>
            <w:webHidden/>
          </w:rPr>
          <w:fldChar w:fldCharType="begin"/>
        </w:r>
        <w:r>
          <w:rPr>
            <w:noProof/>
            <w:webHidden/>
          </w:rPr>
          <w:instrText xml:space="preserve"> PAGEREF _Toc505063280 \h </w:instrText>
        </w:r>
        <w:r>
          <w:rPr>
            <w:noProof/>
            <w:webHidden/>
          </w:rPr>
        </w:r>
        <w:r>
          <w:rPr>
            <w:noProof/>
            <w:webHidden/>
          </w:rPr>
          <w:fldChar w:fldCharType="separate"/>
        </w:r>
        <w:r>
          <w:rPr>
            <w:noProof/>
            <w:webHidden/>
          </w:rPr>
          <w:t>16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1"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Généralités</w:t>
        </w:r>
        <w:r>
          <w:rPr>
            <w:noProof/>
            <w:webHidden/>
          </w:rPr>
          <w:tab/>
        </w:r>
        <w:r>
          <w:rPr>
            <w:noProof/>
            <w:webHidden/>
          </w:rPr>
          <w:fldChar w:fldCharType="begin"/>
        </w:r>
        <w:r>
          <w:rPr>
            <w:noProof/>
            <w:webHidden/>
          </w:rPr>
          <w:instrText xml:space="preserve"> PAGEREF _Toc505063281 \h </w:instrText>
        </w:r>
        <w:r>
          <w:rPr>
            <w:noProof/>
            <w:webHidden/>
          </w:rPr>
        </w:r>
        <w:r>
          <w:rPr>
            <w:noProof/>
            <w:webHidden/>
          </w:rPr>
          <w:fldChar w:fldCharType="separate"/>
        </w:r>
        <w:r>
          <w:rPr>
            <w:noProof/>
            <w:webHidden/>
          </w:rPr>
          <w:t>16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2"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Réalisation chez le fournisseur</w:t>
        </w:r>
        <w:r>
          <w:rPr>
            <w:noProof/>
            <w:webHidden/>
          </w:rPr>
          <w:tab/>
        </w:r>
        <w:r>
          <w:rPr>
            <w:noProof/>
            <w:webHidden/>
          </w:rPr>
          <w:fldChar w:fldCharType="begin"/>
        </w:r>
        <w:r>
          <w:rPr>
            <w:noProof/>
            <w:webHidden/>
          </w:rPr>
          <w:instrText xml:space="preserve"> PAGEREF _Toc505063282 \h </w:instrText>
        </w:r>
        <w:r>
          <w:rPr>
            <w:noProof/>
            <w:webHidden/>
          </w:rPr>
        </w:r>
        <w:r>
          <w:rPr>
            <w:noProof/>
            <w:webHidden/>
          </w:rPr>
          <w:fldChar w:fldCharType="separate"/>
        </w:r>
        <w:r>
          <w:rPr>
            <w:noProof/>
            <w:webHidden/>
          </w:rPr>
          <w:t>16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3"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Réalisation sur place chez l’utilisateur</w:t>
        </w:r>
        <w:r>
          <w:rPr>
            <w:noProof/>
            <w:webHidden/>
          </w:rPr>
          <w:tab/>
        </w:r>
        <w:r>
          <w:rPr>
            <w:noProof/>
            <w:webHidden/>
          </w:rPr>
          <w:fldChar w:fldCharType="begin"/>
        </w:r>
        <w:r>
          <w:rPr>
            <w:noProof/>
            <w:webHidden/>
          </w:rPr>
          <w:instrText xml:space="preserve"> PAGEREF _Toc505063283 \h </w:instrText>
        </w:r>
        <w:r>
          <w:rPr>
            <w:noProof/>
            <w:webHidden/>
          </w:rPr>
        </w:r>
        <w:r>
          <w:rPr>
            <w:noProof/>
            <w:webHidden/>
          </w:rPr>
          <w:fldChar w:fldCharType="separate"/>
        </w:r>
        <w:r>
          <w:rPr>
            <w:noProof/>
            <w:webHidden/>
          </w:rPr>
          <w:t>16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4"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Modalités de la surveillance</w:t>
        </w:r>
        <w:r>
          <w:rPr>
            <w:noProof/>
            <w:webHidden/>
          </w:rPr>
          <w:tab/>
        </w:r>
        <w:r>
          <w:rPr>
            <w:noProof/>
            <w:webHidden/>
          </w:rPr>
          <w:fldChar w:fldCharType="begin"/>
        </w:r>
        <w:r>
          <w:rPr>
            <w:noProof/>
            <w:webHidden/>
          </w:rPr>
          <w:instrText xml:space="preserve"> PAGEREF _Toc505063284 \h </w:instrText>
        </w:r>
        <w:r>
          <w:rPr>
            <w:noProof/>
            <w:webHidden/>
          </w:rPr>
        </w:r>
        <w:r>
          <w:rPr>
            <w:noProof/>
            <w:webHidden/>
          </w:rPr>
          <w:fldChar w:fldCharType="separate"/>
        </w:r>
        <w:r>
          <w:rPr>
            <w:noProof/>
            <w:webHidden/>
          </w:rPr>
          <w:t>17</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85" w:history="1">
        <w:r w:rsidRPr="002D4861">
          <w:rPr>
            <w:rStyle w:val="Lienhypertexte"/>
            <w:rFonts w:ascii="Rockwell" w:hAnsi="Rockwell"/>
            <w:noProof/>
          </w:rPr>
          <w:t>V.</w:t>
        </w:r>
        <w:r>
          <w:rPr>
            <w:rFonts w:eastAsiaTheme="minorEastAsia"/>
            <w:b w:val="0"/>
            <w:bCs w:val="0"/>
            <w:noProof/>
            <w:lang w:eastAsia="fr-FR"/>
          </w:rPr>
          <w:tab/>
        </w:r>
        <w:r w:rsidRPr="002D4861">
          <w:rPr>
            <w:rStyle w:val="Lienhypertexte"/>
            <w:rFonts w:ascii="Rockwell" w:hAnsi="Rockwell"/>
            <w:noProof/>
          </w:rPr>
          <w:t>Vérification de la conformité du produit à la réception</w:t>
        </w:r>
        <w:r>
          <w:rPr>
            <w:noProof/>
            <w:webHidden/>
          </w:rPr>
          <w:tab/>
        </w:r>
        <w:r>
          <w:rPr>
            <w:noProof/>
            <w:webHidden/>
          </w:rPr>
          <w:fldChar w:fldCharType="begin"/>
        </w:r>
        <w:r>
          <w:rPr>
            <w:noProof/>
            <w:webHidden/>
          </w:rPr>
          <w:instrText xml:space="preserve"> PAGEREF _Toc505063285 \h </w:instrText>
        </w:r>
        <w:r>
          <w:rPr>
            <w:noProof/>
            <w:webHidden/>
          </w:rPr>
        </w:r>
        <w:r>
          <w:rPr>
            <w:noProof/>
            <w:webHidden/>
          </w:rPr>
          <w:fldChar w:fldCharType="separate"/>
        </w:r>
        <w:r>
          <w:rPr>
            <w:noProof/>
            <w:webHidden/>
          </w:rPr>
          <w:t>17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6"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Conformité avec les exigences réglementaires</w:t>
        </w:r>
        <w:r>
          <w:rPr>
            <w:noProof/>
            <w:webHidden/>
          </w:rPr>
          <w:tab/>
        </w:r>
        <w:r>
          <w:rPr>
            <w:noProof/>
            <w:webHidden/>
          </w:rPr>
          <w:fldChar w:fldCharType="begin"/>
        </w:r>
        <w:r>
          <w:rPr>
            <w:noProof/>
            <w:webHidden/>
          </w:rPr>
          <w:instrText xml:space="preserve"> PAGEREF _Toc505063286 \h </w:instrText>
        </w:r>
        <w:r>
          <w:rPr>
            <w:noProof/>
            <w:webHidden/>
          </w:rPr>
        </w:r>
        <w:r>
          <w:rPr>
            <w:noProof/>
            <w:webHidden/>
          </w:rPr>
          <w:fldChar w:fldCharType="separate"/>
        </w:r>
        <w:r>
          <w:rPr>
            <w:noProof/>
            <w:webHidden/>
          </w:rPr>
          <w:t>17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7"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Conformité avec les spécifications</w:t>
        </w:r>
        <w:r>
          <w:rPr>
            <w:noProof/>
            <w:webHidden/>
          </w:rPr>
          <w:tab/>
        </w:r>
        <w:r>
          <w:rPr>
            <w:noProof/>
            <w:webHidden/>
          </w:rPr>
          <w:fldChar w:fldCharType="begin"/>
        </w:r>
        <w:r>
          <w:rPr>
            <w:noProof/>
            <w:webHidden/>
          </w:rPr>
          <w:instrText xml:space="preserve"> PAGEREF _Toc505063287 \h </w:instrText>
        </w:r>
        <w:r>
          <w:rPr>
            <w:noProof/>
            <w:webHidden/>
          </w:rPr>
        </w:r>
        <w:r>
          <w:rPr>
            <w:noProof/>
            <w:webHidden/>
          </w:rPr>
          <w:fldChar w:fldCharType="separate"/>
        </w:r>
        <w:r>
          <w:rPr>
            <w:noProof/>
            <w:webHidden/>
          </w:rPr>
          <w:t>17</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88" w:history="1">
        <w:r w:rsidRPr="002D4861">
          <w:rPr>
            <w:rStyle w:val="Lienhypertexte"/>
            <w:rFonts w:ascii="Rockwell" w:hAnsi="Rockwell"/>
            <w:noProof/>
          </w:rPr>
          <w:t>VI.</w:t>
        </w:r>
        <w:r>
          <w:rPr>
            <w:rFonts w:eastAsiaTheme="minorEastAsia"/>
            <w:b w:val="0"/>
            <w:bCs w:val="0"/>
            <w:noProof/>
            <w:lang w:eastAsia="fr-FR"/>
          </w:rPr>
          <w:tab/>
        </w:r>
        <w:r w:rsidRPr="002D4861">
          <w:rPr>
            <w:rStyle w:val="Lienhypertexte"/>
            <w:rFonts w:ascii="Rockwell" w:hAnsi="Rockwell"/>
            <w:noProof/>
          </w:rPr>
          <w:t>Retour d’expérience</w:t>
        </w:r>
        <w:r>
          <w:rPr>
            <w:noProof/>
            <w:webHidden/>
          </w:rPr>
          <w:tab/>
        </w:r>
        <w:r>
          <w:rPr>
            <w:noProof/>
            <w:webHidden/>
          </w:rPr>
          <w:fldChar w:fldCharType="begin"/>
        </w:r>
        <w:r>
          <w:rPr>
            <w:noProof/>
            <w:webHidden/>
          </w:rPr>
          <w:instrText xml:space="preserve"> PAGEREF _Toc505063288 \h </w:instrText>
        </w:r>
        <w:r>
          <w:rPr>
            <w:noProof/>
            <w:webHidden/>
          </w:rPr>
        </w:r>
        <w:r>
          <w:rPr>
            <w:noProof/>
            <w:webHidden/>
          </w:rPr>
          <w:fldChar w:fldCharType="separate"/>
        </w:r>
        <w:r>
          <w:rPr>
            <w:noProof/>
            <w:webHidden/>
          </w:rPr>
          <w:t>18</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89"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Nature et objet</w:t>
        </w:r>
        <w:r>
          <w:rPr>
            <w:noProof/>
            <w:webHidden/>
          </w:rPr>
          <w:tab/>
        </w:r>
        <w:r>
          <w:rPr>
            <w:noProof/>
            <w:webHidden/>
          </w:rPr>
          <w:fldChar w:fldCharType="begin"/>
        </w:r>
        <w:r>
          <w:rPr>
            <w:noProof/>
            <w:webHidden/>
          </w:rPr>
          <w:instrText xml:space="preserve"> PAGEREF _Toc505063289 \h </w:instrText>
        </w:r>
        <w:r>
          <w:rPr>
            <w:noProof/>
            <w:webHidden/>
          </w:rPr>
        </w:r>
        <w:r>
          <w:rPr>
            <w:noProof/>
            <w:webHidden/>
          </w:rPr>
          <w:fldChar w:fldCharType="separate"/>
        </w:r>
        <w:r>
          <w:rPr>
            <w:noProof/>
            <w:webHidden/>
          </w:rPr>
          <w:t>18</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90"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Information sur les produits</w:t>
        </w:r>
        <w:r>
          <w:rPr>
            <w:noProof/>
            <w:webHidden/>
          </w:rPr>
          <w:tab/>
        </w:r>
        <w:r>
          <w:rPr>
            <w:noProof/>
            <w:webHidden/>
          </w:rPr>
          <w:fldChar w:fldCharType="begin"/>
        </w:r>
        <w:r>
          <w:rPr>
            <w:noProof/>
            <w:webHidden/>
          </w:rPr>
          <w:instrText xml:space="preserve"> PAGEREF _Toc505063290 \h </w:instrText>
        </w:r>
        <w:r>
          <w:rPr>
            <w:noProof/>
            <w:webHidden/>
          </w:rPr>
        </w:r>
        <w:r>
          <w:rPr>
            <w:noProof/>
            <w:webHidden/>
          </w:rPr>
          <w:fldChar w:fldCharType="separate"/>
        </w:r>
        <w:r>
          <w:rPr>
            <w:noProof/>
            <w:webHidden/>
          </w:rPr>
          <w:t>19</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91"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Informations sur les fournisseurs</w:t>
        </w:r>
        <w:r>
          <w:rPr>
            <w:noProof/>
            <w:webHidden/>
          </w:rPr>
          <w:tab/>
        </w:r>
        <w:r>
          <w:rPr>
            <w:noProof/>
            <w:webHidden/>
          </w:rPr>
          <w:fldChar w:fldCharType="begin"/>
        </w:r>
        <w:r>
          <w:rPr>
            <w:noProof/>
            <w:webHidden/>
          </w:rPr>
          <w:instrText xml:space="preserve"> PAGEREF _Toc505063291 \h </w:instrText>
        </w:r>
        <w:r>
          <w:rPr>
            <w:noProof/>
            <w:webHidden/>
          </w:rPr>
        </w:r>
        <w:r>
          <w:rPr>
            <w:noProof/>
            <w:webHidden/>
          </w:rPr>
          <w:fldChar w:fldCharType="separate"/>
        </w:r>
        <w:r>
          <w:rPr>
            <w:noProof/>
            <w:webHidden/>
          </w:rPr>
          <w:t>19</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92"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Mise en commun d’informations avec d’autres acheteurs</w:t>
        </w:r>
        <w:r>
          <w:rPr>
            <w:noProof/>
            <w:webHidden/>
          </w:rPr>
          <w:tab/>
        </w:r>
        <w:r>
          <w:rPr>
            <w:noProof/>
            <w:webHidden/>
          </w:rPr>
          <w:fldChar w:fldCharType="begin"/>
        </w:r>
        <w:r>
          <w:rPr>
            <w:noProof/>
            <w:webHidden/>
          </w:rPr>
          <w:instrText xml:space="preserve"> PAGEREF _Toc505063292 \h </w:instrText>
        </w:r>
        <w:r>
          <w:rPr>
            <w:noProof/>
            <w:webHidden/>
          </w:rPr>
        </w:r>
        <w:r>
          <w:rPr>
            <w:noProof/>
            <w:webHidden/>
          </w:rPr>
          <w:fldChar w:fldCharType="separate"/>
        </w:r>
        <w:r>
          <w:rPr>
            <w:noProof/>
            <w:webHidden/>
          </w:rPr>
          <w:t>19</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93" w:history="1">
        <w:r w:rsidRPr="002D4861">
          <w:rPr>
            <w:rStyle w:val="Lienhypertexte"/>
            <w:rFonts w:ascii="Rockwell" w:hAnsi="Rockwell"/>
            <w:noProof/>
          </w:rPr>
          <w:t>5.</w:t>
        </w:r>
        <w:r>
          <w:rPr>
            <w:rFonts w:eastAsiaTheme="minorEastAsia"/>
            <w:noProof/>
            <w:sz w:val="22"/>
            <w:szCs w:val="22"/>
            <w:lang w:eastAsia="fr-FR"/>
          </w:rPr>
          <w:tab/>
        </w:r>
        <w:r w:rsidRPr="002D4861">
          <w:rPr>
            <w:rStyle w:val="Lienhypertexte"/>
            <w:rFonts w:ascii="Rockwell" w:hAnsi="Rockwell"/>
            <w:noProof/>
          </w:rPr>
          <w:t>Informations à donner au fournisseur</w:t>
        </w:r>
        <w:r>
          <w:rPr>
            <w:noProof/>
            <w:webHidden/>
          </w:rPr>
          <w:tab/>
        </w:r>
        <w:r>
          <w:rPr>
            <w:noProof/>
            <w:webHidden/>
          </w:rPr>
          <w:fldChar w:fldCharType="begin"/>
        </w:r>
        <w:r>
          <w:rPr>
            <w:noProof/>
            <w:webHidden/>
          </w:rPr>
          <w:instrText xml:space="preserve"> PAGEREF _Toc505063293 \h </w:instrText>
        </w:r>
        <w:r>
          <w:rPr>
            <w:noProof/>
            <w:webHidden/>
          </w:rPr>
        </w:r>
        <w:r>
          <w:rPr>
            <w:noProof/>
            <w:webHidden/>
          </w:rPr>
          <w:fldChar w:fldCharType="separate"/>
        </w:r>
        <w:r>
          <w:rPr>
            <w:noProof/>
            <w:webHidden/>
          </w:rPr>
          <w:t>19</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294" w:history="1">
        <w:r w:rsidRPr="002D4861">
          <w:rPr>
            <w:rStyle w:val="Lienhypertexte"/>
            <w:rFonts w:ascii="Rockwell" w:hAnsi="Rockwell"/>
            <w:noProof/>
          </w:rPr>
          <w:t>IIIème PARTIE - EXIGENCES MINIMALES EN MATIERE DE GESTION DE LA QUALITE</w:t>
        </w:r>
        <w:r>
          <w:rPr>
            <w:noProof/>
            <w:webHidden/>
          </w:rPr>
          <w:tab/>
        </w:r>
        <w:r>
          <w:rPr>
            <w:noProof/>
            <w:webHidden/>
          </w:rPr>
          <w:fldChar w:fldCharType="begin"/>
        </w:r>
        <w:r>
          <w:rPr>
            <w:noProof/>
            <w:webHidden/>
          </w:rPr>
          <w:instrText xml:space="preserve"> PAGEREF _Toc505063294 \h </w:instrText>
        </w:r>
        <w:r>
          <w:rPr>
            <w:noProof/>
            <w:webHidden/>
          </w:rPr>
        </w:r>
        <w:r>
          <w:rPr>
            <w:noProof/>
            <w:webHidden/>
          </w:rPr>
          <w:fldChar w:fldCharType="separate"/>
        </w:r>
        <w:r>
          <w:rPr>
            <w:noProof/>
            <w:webHidden/>
          </w:rPr>
          <w:t>20</w:t>
        </w:r>
        <w:r>
          <w:rPr>
            <w:noProof/>
            <w:webHidden/>
          </w:rPr>
          <w:fldChar w:fldCharType="end"/>
        </w:r>
      </w:hyperlink>
    </w:p>
    <w:p w:rsidR="00A858B0" w:rsidRDefault="00A858B0">
      <w:pPr>
        <w:pStyle w:val="TM2"/>
        <w:tabs>
          <w:tab w:val="left" w:pos="660"/>
          <w:tab w:val="right" w:leader="underscore" w:pos="9402"/>
        </w:tabs>
        <w:rPr>
          <w:rFonts w:eastAsiaTheme="minorEastAsia"/>
          <w:b w:val="0"/>
          <w:bCs w:val="0"/>
          <w:noProof/>
          <w:lang w:eastAsia="fr-FR"/>
        </w:rPr>
      </w:pPr>
      <w:hyperlink w:anchor="_Toc505063295" w:history="1">
        <w:r w:rsidRPr="002D4861">
          <w:rPr>
            <w:rStyle w:val="Lienhypertexte"/>
            <w:rFonts w:ascii="Rockwell" w:hAnsi="Rockwell"/>
            <w:noProof/>
          </w:rPr>
          <w:t>I.</w:t>
        </w:r>
        <w:r>
          <w:rPr>
            <w:rFonts w:eastAsiaTheme="minorEastAsia"/>
            <w:b w:val="0"/>
            <w:bCs w:val="0"/>
            <w:noProof/>
            <w:lang w:eastAsia="fr-FR"/>
          </w:rPr>
          <w:tab/>
        </w:r>
        <w:r w:rsidRPr="002D4861">
          <w:rPr>
            <w:rStyle w:val="Lienhypertexte"/>
            <w:rFonts w:ascii="Rockwell" w:hAnsi="Rockwell"/>
            <w:noProof/>
          </w:rPr>
          <w:t>Exigences minimales en matière de qualité pour les acheteurs</w:t>
        </w:r>
        <w:r>
          <w:rPr>
            <w:noProof/>
            <w:webHidden/>
          </w:rPr>
          <w:tab/>
        </w:r>
        <w:r>
          <w:rPr>
            <w:noProof/>
            <w:webHidden/>
          </w:rPr>
          <w:fldChar w:fldCharType="begin"/>
        </w:r>
        <w:r>
          <w:rPr>
            <w:noProof/>
            <w:webHidden/>
          </w:rPr>
          <w:instrText xml:space="preserve"> PAGEREF _Toc505063295 \h </w:instrText>
        </w:r>
        <w:r>
          <w:rPr>
            <w:noProof/>
            <w:webHidden/>
          </w:rPr>
        </w:r>
        <w:r>
          <w:rPr>
            <w:noProof/>
            <w:webHidden/>
          </w:rPr>
          <w:fldChar w:fldCharType="separate"/>
        </w:r>
        <w:r>
          <w:rPr>
            <w:noProof/>
            <w:webHidden/>
          </w:rPr>
          <w:t>20</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296" w:history="1">
        <w:r w:rsidRPr="002D4861">
          <w:rPr>
            <w:rStyle w:val="Lienhypertexte"/>
            <w:rFonts w:ascii="Rockwell" w:hAnsi="Rockwell"/>
            <w:noProof/>
          </w:rPr>
          <w:t>II.</w:t>
        </w:r>
        <w:r>
          <w:rPr>
            <w:rFonts w:eastAsiaTheme="minorEastAsia"/>
            <w:b w:val="0"/>
            <w:bCs w:val="0"/>
            <w:noProof/>
            <w:lang w:eastAsia="fr-FR"/>
          </w:rPr>
          <w:tab/>
        </w:r>
        <w:r w:rsidRPr="002D4861">
          <w:rPr>
            <w:rStyle w:val="Lienhypertexte"/>
            <w:rFonts w:ascii="Rockwell" w:hAnsi="Rockwell"/>
            <w:noProof/>
          </w:rPr>
          <w:t>Exigences minimales en matière de qualité pour les fournisseurs</w:t>
        </w:r>
        <w:r>
          <w:rPr>
            <w:noProof/>
            <w:webHidden/>
          </w:rPr>
          <w:tab/>
        </w:r>
        <w:r>
          <w:rPr>
            <w:noProof/>
            <w:webHidden/>
          </w:rPr>
          <w:fldChar w:fldCharType="begin"/>
        </w:r>
        <w:r>
          <w:rPr>
            <w:noProof/>
            <w:webHidden/>
          </w:rPr>
          <w:instrText xml:space="preserve"> PAGEREF _Toc505063296 \h </w:instrText>
        </w:r>
        <w:r>
          <w:rPr>
            <w:noProof/>
            <w:webHidden/>
          </w:rPr>
        </w:r>
        <w:r>
          <w:rPr>
            <w:noProof/>
            <w:webHidden/>
          </w:rPr>
          <w:fldChar w:fldCharType="separate"/>
        </w:r>
        <w:r>
          <w:rPr>
            <w:noProof/>
            <w:webHidden/>
          </w:rPr>
          <w:t>24</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297" w:history="1">
        <w:r w:rsidRPr="002D4861">
          <w:rPr>
            <w:rStyle w:val="Lienhypertexte"/>
            <w:rFonts w:ascii="Rockwell" w:hAnsi="Rockwell"/>
            <w:noProof/>
          </w:rPr>
          <w:t>IVème PARTIE - EXIGENCES NORMATIVES POUR LES PRODUITS DANS LE CADRE DES ACHATS PUBLICS, PAR SECTEUR AU BURKINA FASO</w:t>
        </w:r>
        <w:r>
          <w:rPr>
            <w:noProof/>
            <w:webHidden/>
          </w:rPr>
          <w:tab/>
        </w:r>
        <w:r>
          <w:rPr>
            <w:noProof/>
            <w:webHidden/>
          </w:rPr>
          <w:fldChar w:fldCharType="begin"/>
        </w:r>
        <w:r>
          <w:rPr>
            <w:noProof/>
            <w:webHidden/>
          </w:rPr>
          <w:instrText xml:space="preserve"> PAGEREF _Toc505063297 \h </w:instrText>
        </w:r>
        <w:r>
          <w:rPr>
            <w:noProof/>
            <w:webHidden/>
          </w:rPr>
        </w:r>
        <w:r>
          <w:rPr>
            <w:noProof/>
            <w:webHidden/>
          </w:rPr>
          <w:fldChar w:fldCharType="separate"/>
        </w:r>
        <w:r>
          <w:rPr>
            <w:noProof/>
            <w:webHidden/>
          </w:rPr>
          <w:t>26</w:t>
        </w:r>
        <w:r>
          <w:rPr>
            <w:noProof/>
            <w:webHidden/>
          </w:rPr>
          <w:fldChar w:fldCharType="end"/>
        </w:r>
      </w:hyperlink>
    </w:p>
    <w:p w:rsidR="00A858B0" w:rsidRDefault="00A858B0">
      <w:pPr>
        <w:pStyle w:val="TM2"/>
        <w:tabs>
          <w:tab w:val="left" w:pos="660"/>
          <w:tab w:val="right" w:leader="underscore" w:pos="9402"/>
        </w:tabs>
        <w:rPr>
          <w:rFonts w:eastAsiaTheme="minorEastAsia"/>
          <w:b w:val="0"/>
          <w:bCs w:val="0"/>
          <w:noProof/>
          <w:lang w:eastAsia="fr-FR"/>
        </w:rPr>
      </w:pPr>
      <w:hyperlink w:anchor="_Toc505063298" w:history="1">
        <w:r w:rsidRPr="002D4861">
          <w:rPr>
            <w:rStyle w:val="Lienhypertexte"/>
            <w:rFonts w:ascii="Rockwell" w:hAnsi="Rockwell"/>
            <w:noProof/>
          </w:rPr>
          <w:t>I.</w:t>
        </w:r>
        <w:r>
          <w:rPr>
            <w:rFonts w:eastAsiaTheme="minorEastAsia"/>
            <w:b w:val="0"/>
            <w:bCs w:val="0"/>
            <w:noProof/>
            <w:lang w:eastAsia="fr-FR"/>
          </w:rPr>
          <w:tab/>
        </w:r>
        <w:r w:rsidRPr="002D4861">
          <w:rPr>
            <w:rStyle w:val="Lienhypertexte"/>
            <w:rFonts w:ascii="Rockwell" w:hAnsi="Rockwell"/>
            <w:noProof/>
          </w:rPr>
          <w:t>Méthodologie de référence aux normes, avant l’achat public</w:t>
        </w:r>
        <w:r>
          <w:rPr>
            <w:noProof/>
            <w:webHidden/>
          </w:rPr>
          <w:tab/>
        </w:r>
        <w:r>
          <w:rPr>
            <w:noProof/>
            <w:webHidden/>
          </w:rPr>
          <w:fldChar w:fldCharType="begin"/>
        </w:r>
        <w:r>
          <w:rPr>
            <w:noProof/>
            <w:webHidden/>
          </w:rPr>
          <w:instrText xml:space="preserve"> PAGEREF _Toc505063298 \h </w:instrText>
        </w:r>
        <w:r>
          <w:rPr>
            <w:noProof/>
            <w:webHidden/>
          </w:rPr>
        </w:r>
        <w:r>
          <w:rPr>
            <w:noProof/>
            <w:webHidden/>
          </w:rPr>
          <w:fldChar w:fldCharType="separate"/>
        </w:r>
        <w:r>
          <w:rPr>
            <w:noProof/>
            <w:webHidden/>
          </w:rPr>
          <w:t>26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299"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Étape 1 : Spécifications du produit</w:t>
        </w:r>
        <w:r>
          <w:rPr>
            <w:noProof/>
            <w:webHidden/>
          </w:rPr>
          <w:tab/>
        </w:r>
        <w:r>
          <w:rPr>
            <w:noProof/>
            <w:webHidden/>
          </w:rPr>
          <w:fldChar w:fldCharType="begin"/>
        </w:r>
        <w:r>
          <w:rPr>
            <w:noProof/>
            <w:webHidden/>
          </w:rPr>
          <w:instrText xml:space="preserve"> PAGEREF _Toc505063299 \h </w:instrText>
        </w:r>
        <w:r>
          <w:rPr>
            <w:noProof/>
            <w:webHidden/>
          </w:rPr>
        </w:r>
        <w:r>
          <w:rPr>
            <w:noProof/>
            <w:webHidden/>
          </w:rPr>
          <w:fldChar w:fldCharType="separate"/>
        </w:r>
        <w:r>
          <w:rPr>
            <w:noProof/>
            <w:webHidden/>
          </w:rPr>
          <w:t>27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0"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Étape 2 : Rechercher les normes</w:t>
        </w:r>
        <w:r>
          <w:rPr>
            <w:noProof/>
            <w:webHidden/>
          </w:rPr>
          <w:tab/>
        </w:r>
        <w:r>
          <w:rPr>
            <w:noProof/>
            <w:webHidden/>
          </w:rPr>
          <w:fldChar w:fldCharType="begin"/>
        </w:r>
        <w:r>
          <w:rPr>
            <w:noProof/>
            <w:webHidden/>
          </w:rPr>
          <w:instrText xml:space="preserve"> PAGEREF _Toc505063300 \h </w:instrText>
        </w:r>
        <w:r>
          <w:rPr>
            <w:noProof/>
            <w:webHidden/>
          </w:rPr>
        </w:r>
        <w:r>
          <w:rPr>
            <w:noProof/>
            <w:webHidden/>
          </w:rPr>
          <w:fldChar w:fldCharType="separate"/>
        </w:r>
        <w:r>
          <w:rPr>
            <w:noProof/>
            <w:webHidden/>
          </w:rPr>
          <w:t>27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1"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Étape 3 : Sélectionner la norme appropriée (nationale ou internationale)</w:t>
        </w:r>
        <w:r>
          <w:rPr>
            <w:noProof/>
            <w:webHidden/>
          </w:rPr>
          <w:tab/>
        </w:r>
        <w:r>
          <w:rPr>
            <w:noProof/>
            <w:webHidden/>
          </w:rPr>
          <w:fldChar w:fldCharType="begin"/>
        </w:r>
        <w:r>
          <w:rPr>
            <w:noProof/>
            <w:webHidden/>
          </w:rPr>
          <w:instrText xml:space="preserve"> PAGEREF _Toc505063301 \h </w:instrText>
        </w:r>
        <w:r>
          <w:rPr>
            <w:noProof/>
            <w:webHidden/>
          </w:rPr>
        </w:r>
        <w:r>
          <w:rPr>
            <w:noProof/>
            <w:webHidden/>
          </w:rPr>
          <w:fldChar w:fldCharType="separate"/>
        </w:r>
        <w:r>
          <w:rPr>
            <w:noProof/>
            <w:webHidden/>
          </w:rPr>
          <w:t>27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2"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Étape 4 : Rechercher les informations appropriées dans le corps de la norme</w:t>
        </w:r>
        <w:r>
          <w:rPr>
            <w:noProof/>
            <w:webHidden/>
          </w:rPr>
          <w:tab/>
        </w:r>
        <w:r>
          <w:rPr>
            <w:noProof/>
            <w:webHidden/>
          </w:rPr>
          <w:fldChar w:fldCharType="begin"/>
        </w:r>
        <w:r>
          <w:rPr>
            <w:noProof/>
            <w:webHidden/>
          </w:rPr>
          <w:instrText xml:space="preserve"> PAGEREF _Toc505063302 \h </w:instrText>
        </w:r>
        <w:r>
          <w:rPr>
            <w:noProof/>
            <w:webHidden/>
          </w:rPr>
        </w:r>
        <w:r>
          <w:rPr>
            <w:noProof/>
            <w:webHidden/>
          </w:rPr>
          <w:fldChar w:fldCharType="separate"/>
        </w:r>
        <w:r>
          <w:rPr>
            <w:noProof/>
            <w:webHidden/>
          </w:rPr>
          <w:t>27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3" w:history="1">
        <w:r w:rsidRPr="002D4861">
          <w:rPr>
            <w:rStyle w:val="Lienhypertexte"/>
            <w:rFonts w:ascii="Rockwell" w:hAnsi="Rockwell"/>
            <w:noProof/>
          </w:rPr>
          <w:t>5.</w:t>
        </w:r>
        <w:r>
          <w:rPr>
            <w:rFonts w:eastAsiaTheme="minorEastAsia"/>
            <w:noProof/>
            <w:sz w:val="22"/>
            <w:szCs w:val="22"/>
            <w:lang w:eastAsia="fr-FR"/>
          </w:rPr>
          <w:tab/>
        </w:r>
        <w:r w:rsidRPr="002D4861">
          <w:rPr>
            <w:rStyle w:val="Lienhypertexte"/>
            <w:rFonts w:ascii="Rockwell" w:hAnsi="Rockwell"/>
            <w:noProof/>
          </w:rPr>
          <w:t>Étape 5 : Interpréter les prescriptions de la norme</w:t>
        </w:r>
        <w:r>
          <w:rPr>
            <w:noProof/>
            <w:webHidden/>
          </w:rPr>
          <w:tab/>
        </w:r>
        <w:r>
          <w:rPr>
            <w:noProof/>
            <w:webHidden/>
          </w:rPr>
          <w:fldChar w:fldCharType="begin"/>
        </w:r>
        <w:r>
          <w:rPr>
            <w:noProof/>
            <w:webHidden/>
          </w:rPr>
          <w:instrText xml:space="preserve"> PAGEREF _Toc505063303 \h </w:instrText>
        </w:r>
        <w:r>
          <w:rPr>
            <w:noProof/>
            <w:webHidden/>
          </w:rPr>
        </w:r>
        <w:r>
          <w:rPr>
            <w:noProof/>
            <w:webHidden/>
          </w:rPr>
          <w:fldChar w:fldCharType="separate"/>
        </w:r>
        <w:r>
          <w:rPr>
            <w:noProof/>
            <w:webHidden/>
          </w:rPr>
          <w:t>28</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4" w:history="1">
        <w:r w:rsidRPr="002D4861">
          <w:rPr>
            <w:rStyle w:val="Lienhypertexte"/>
            <w:rFonts w:ascii="Rockwell" w:hAnsi="Rockwell"/>
            <w:noProof/>
          </w:rPr>
          <w:t>6.</w:t>
        </w:r>
        <w:r>
          <w:rPr>
            <w:rFonts w:eastAsiaTheme="minorEastAsia"/>
            <w:noProof/>
            <w:sz w:val="22"/>
            <w:szCs w:val="22"/>
            <w:lang w:eastAsia="fr-FR"/>
          </w:rPr>
          <w:tab/>
        </w:r>
        <w:r w:rsidRPr="002D4861">
          <w:rPr>
            <w:rStyle w:val="Lienhypertexte"/>
            <w:rFonts w:ascii="Rockwell" w:hAnsi="Rockwell"/>
            <w:noProof/>
          </w:rPr>
          <w:t>Étape 6 : Référencer la norme dans les documents de consultation (cahier des charges ou autre)</w:t>
        </w:r>
        <w:r>
          <w:rPr>
            <w:noProof/>
            <w:webHidden/>
          </w:rPr>
          <w:tab/>
        </w:r>
        <w:r>
          <w:rPr>
            <w:noProof/>
            <w:webHidden/>
          </w:rPr>
          <w:fldChar w:fldCharType="begin"/>
        </w:r>
        <w:r>
          <w:rPr>
            <w:noProof/>
            <w:webHidden/>
          </w:rPr>
          <w:instrText xml:space="preserve"> PAGEREF _Toc505063304 \h </w:instrText>
        </w:r>
        <w:r>
          <w:rPr>
            <w:noProof/>
            <w:webHidden/>
          </w:rPr>
        </w:r>
        <w:r>
          <w:rPr>
            <w:noProof/>
            <w:webHidden/>
          </w:rPr>
          <w:fldChar w:fldCharType="separate"/>
        </w:r>
        <w:r>
          <w:rPr>
            <w:noProof/>
            <w:webHidden/>
          </w:rPr>
          <w:t>28</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305" w:history="1">
        <w:r w:rsidRPr="002D4861">
          <w:rPr>
            <w:rStyle w:val="Lienhypertexte"/>
            <w:rFonts w:ascii="Rockwell" w:hAnsi="Rockwell"/>
            <w:noProof/>
          </w:rPr>
          <w:t>II.</w:t>
        </w:r>
        <w:r>
          <w:rPr>
            <w:rFonts w:eastAsiaTheme="minorEastAsia"/>
            <w:b w:val="0"/>
            <w:bCs w:val="0"/>
            <w:noProof/>
            <w:lang w:eastAsia="fr-FR"/>
          </w:rPr>
          <w:tab/>
        </w:r>
        <w:r w:rsidRPr="002D4861">
          <w:rPr>
            <w:rStyle w:val="Lienhypertexte"/>
            <w:rFonts w:ascii="Rockwell" w:hAnsi="Rockwell"/>
            <w:noProof/>
          </w:rPr>
          <w:t>Pendant l’achat public : utiliser les normes pour pouvoir sélectionner le fournisseur</w:t>
        </w:r>
        <w:r>
          <w:rPr>
            <w:noProof/>
            <w:webHidden/>
          </w:rPr>
          <w:tab/>
        </w:r>
        <w:r>
          <w:rPr>
            <w:noProof/>
            <w:webHidden/>
          </w:rPr>
          <w:fldChar w:fldCharType="begin"/>
        </w:r>
        <w:r>
          <w:rPr>
            <w:noProof/>
            <w:webHidden/>
          </w:rPr>
          <w:instrText xml:space="preserve"> PAGEREF _Toc505063305 \h </w:instrText>
        </w:r>
        <w:r>
          <w:rPr>
            <w:noProof/>
            <w:webHidden/>
          </w:rPr>
        </w:r>
        <w:r>
          <w:rPr>
            <w:noProof/>
            <w:webHidden/>
          </w:rPr>
          <w:fldChar w:fldCharType="separate"/>
        </w:r>
        <w:r>
          <w:rPr>
            <w:noProof/>
            <w:webHidden/>
          </w:rPr>
          <w:t>30</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306" w:history="1">
        <w:r w:rsidRPr="002D4861">
          <w:rPr>
            <w:rStyle w:val="Lienhypertexte"/>
            <w:rFonts w:ascii="Rockwell" w:hAnsi="Rockwell"/>
            <w:noProof/>
          </w:rPr>
          <w:t>III.</w:t>
        </w:r>
        <w:r>
          <w:rPr>
            <w:rFonts w:eastAsiaTheme="minorEastAsia"/>
            <w:b w:val="0"/>
            <w:bCs w:val="0"/>
            <w:noProof/>
            <w:lang w:eastAsia="fr-FR"/>
          </w:rPr>
          <w:tab/>
        </w:r>
        <w:r w:rsidRPr="002D4861">
          <w:rPr>
            <w:rStyle w:val="Lienhypertexte"/>
            <w:rFonts w:ascii="Rockwell" w:hAnsi="Rockwell"/>
            <w:noProof/>
          </w:rPr>
          <w:t>Après l’achat, suivre l’exécution du marché public</w:t>
        </w:r>
        <w:r>
          <w:rPr>
            <w:noProof/>
            <w:webHidden/>
          </w:rPr>
          <w:tab/>
        </w:r>
        <w:r>
          <w:rPr>
            <w:noProof/>
            <w:webHidden/>
          </w:rPr>
          <w:fldChar w:fldCharType="begin"/>
        </w:r>
        <w:r>
          <w:rPr>
            <w:noProof/>
            <w:webHidden/>
          </w:rPr>
          <w:instrText xml:space="preserve"> PAGEREF _Toc505063306 \h </w:instrText>
        </w:r>
        <w:r>
          <w:rPr>
            <w:noProof/>
            <w:webHidden/>
          </w:rPr>
        </w:r>
        <w:r>
          <w:rPr>
            <w:noProof/>
            <w:webHidden/>
          </w:rPr>
          <w:fldChar w:fldCharType="separate"/>
        </w:r>
        <w:r>
          <w:rPr>
            <w:noProof/>
            <w:webHidden/>
          </w:rPr>
          <w:t>30</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307" w:history="1">
        <w:r w:rsidRPr="002D4861">
          <w:rPr>
            <w:rStyle w:val="Lienhypertexte"/>
            <w:rFonts w:ascii="Rockwell" w:hAnsi="Rockwell"/>
            <w:noProof/>
          </w:rPr>
          <w:t>IV.</w:t>
        </w:r>
        <w:r>
          <w:rPr>
            <w:rFonts w:eastAsiaTheme="minorEastAsia"/>
            <w:b w:val="0"/>
            <w:bCs w:val="0"/>
            <w:noProof/>
            <w:lang w:eastAsia="fr-FR"/>
          </w:rPr>
          <w:tab/>
        </w:r>
        <w:r w:rsidRPr="002D4861">
          <w:rPr>
            <w:rStyle w:val="Lienhypertexte"/>
            <w:rFonts w:ascii="Rockwell" w:hAnsi="Rockwell"/>
            <w:noProof/>
          </w:rPr>
          <w:t>Exigences normatives par domaine</w:t>
        </w:r>
        <w:r>
          <w:rPr>
            <w:noProof/>
            <w:webHidden/>
          </w:rPr>
          <w:tab/>
        </w:r>
        <w:r>
          <w:rPr>
            <w:noProof/>
            <w:webHidden/>
          </w:rPr>
          <w:fldChar w:fldCharType="begin"/>
        </w:r>
        <w:r>
          <w:rPr>
            <w:noProof/>
            <w:webHidden/>
          </w:rPr>
          <w:instrText xml:space="preserve"> PAGEREF _Toc505063307 \h </w:instrText>
        </w:r>
        <w:r>
          <w:rPr>
            <w:noProof/>
            <w:webHidden/>
          </w:rPr>
        </w:r>
        <w:r>
          <w:rPr>
            <w:noProof/>
            <w:webHidden/>
          </w:rPr>
          <w:fldChar w:fldCharType="separate"/>
        </w:r>
        <w:r>
          <w:rPr>
            <w:noProof/>
            <w:webHidden/>
          </w:rPr>
          <w:t>31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8"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Les huiles alimentaires</w:t>
        </w:r>
        <w:r>
          <w:rPr>
            <w:noProof/>
            <w:webHidden/>
          </w:rPr>
          <w:tab/>
        </w:r>
        <w:r>
          <w:rPr>
            <w:noProof/>
            <w:webHidden/>
          </w:rPr>
          <w:fldChar w:fldCharType="begin"/>
        </w:r>
        <w:r>
          <w:rPr>
            <w:noProof/>
            <w:webHidden/>
          </w:rPr>
          <w:instrText xml:space="preserve"> PAGEREF _Toc505063308 \h </w:instrText>
        </w:r>
        <w:r>
          <w:rPr>
            <w:noProof/>
            <w:webHidden/>
          </w:rPr>
        </w:r>
        <w:r>
          <w:rPr>
            <w:noProof/>
            <w:webHidden/>
          </w:rPr>
          <w:fldChar w:fldCharType="separate"/>
        </w:r>
        <w:r>
          <w:rPr>
            <w:noProof/>
            <w:webHidden/>
          </w:rPr>
          <w:t>31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09"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Le riz</w:t>
        </w:r>
        <w:r>
          <w:rPr>
            <w:noProof/>
            <w:webHidden/>
          </w:rPr>
          <w:tab/>
        </w:r>
        <w:r>
          <w:rPr>
            <w:noProof/>
            <w:webHidden/>
          </w:rPr>
          <w:fldChar w:fldCharType="begin"/>
        </w:r>
        <w:r>
          <w:rPr>
            <w:noProof/>
            <w:webHidden/>
          </w:rPr>
          <w:instrText xml:space="preserve"> PAGEREF _Toc505063309 \h </w:instrText>
        </w:r>
        <w:r>
          <w:rPr>
            <w:noProof/>
            <w:webHidden/>
          </w:rPr>
        </w:r>
        <w:r>
          <w:rPr>
            <w:noProof/>
            <w:webHidden/>
          </w:rPr>
          <w:fldChar w:fldCharType="separate"/>
        </w:r>
        <w:r>
          <w:rPr>
            <w:noProof/>
            <w:webHidden/>
          </w:rPr>
          <w:t>34</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10"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Le maïs</w:t>
        </w:r>
        <w:r>
          <w:rPr>
            <w:noProof/>
            <w:webHidden/>
          </w:rPr>
          <w:tab/>
        </w:r>
        <w:r>
          <w:rPr>
            <w:noProof/>
            <w:webHidden/>
          </w:rPr>
          <w:fldChar w:fldCharType="begin"/>
        </w:r>
        <w:r>
          <w:rPr>
            <w:noProof/>
            <w:webHidden/>
          </w:rPr>
          <w:instrText xml:space="preserve"> PAGEREF _Toc505063310 \h </w:instrText>
        </w:r>
        <w:r>
          <w:rPr>
            <w:noProof/>
            <w:webHidden/>
          </w:rPr>
        </w:r>
        <w:r>
          <w:rPr>
            <w:noProof/>
            <w:webHidden/>
          </w:rPr>
          <w:fldChar w:fldCharType="separate"/>
        </w:r>
        <w:r>
          <w:rPr>
            <w:noProof/>
            <w:webHidden/>
          </w:rPr>
          <w:t>39</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11"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Le  niébé</w:t>
        </w:r>
        <w:r>
          <w:rPr>
            <w:noProof/>
            <w:webHidden/>
          </w:rPr>
          <w:tab/>
        </w:r>
        <w:r>
          <w:rPr>
            <w:noProof/>
            <w:webHidden/>
          </w:rPr>
          <w:fldChar w:fldCharType="begin"/>
        </w:r>
        <w:r>
          <w:rPr>
            <w:noProof/>
            <w:webHidden/>
          </w:rPr>
          <w:instrText xml:space="preserve"> PAGEREF _Toc505063311 \h </w:instrText>
        </w:r>
        <w:r>
          <w:rPr>
            <w:noProof/>
            <w:webHidden/>
          </w:rPr>
        </w:r>
        <w:r>
          <w:rPr>
            <w:noProof/>
            <w:webHidden/>
          </w:rPr>
          <w:fldChar w:fldCharType="separate"/>
        </w:r>
        <w:r>
          <w:rPr>
            <w:noProof/>
            <w:webHidden/>
          </w:rPr>
          <w:t>41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12" w:history="1">
        <w:r w:rsidRPr="002D4861">
          <w:rPr>
            <w:rStyle w:val="Lienhypertexte"/>
            <w:rFonts w:ascii="Rockwell" w:hAnsi="Rockwell"/>
            <w:noProof/>
          </w:rPr>
          <w:t>5.</w:t>
        </w:r>
        <w:r>
          <w:rPr>
            <w:rFonts w:eastAsiaTheme="minorEastAsia"/>
            <w:noProof/>
            <w:sz w:val="22"/>
            <w:szCs w:val="22"/>
            <w:lang w:eastAsia="fr-FR"/>
          </w:rPr>
          <w:tab/>
        </w:r>
        <w:r w:rsidRPr="002D4861">
          <w:rPr>
            <w:rStyle w:val="Lienhypertexte"/>
            <w:rFonts w:ascii="Rockwell" w:hAnsi="Rockwell"/>
            <w:noProof/>
          </w:rPr>
          <w:t>Exigences communes à tous les produits alimentaires en matière d’achat écoresponsable</w:t>
        </w:r>
        <w:r>
          <w:rPr>
            <w:noProof/>
            <w:webHidden/>
          </w:rPr>
          <w:tab/>
        </w:r>
        <w:r>
          <w:rPr>
            <w:noProof/>
            <w:webHidden/>
          </w:rPr>
          <w:fldChar w:fldCharType="begin"/>
        </w:r>
        <w:r>
          <w:rPr>
            <w:noProof/>
            <w:webHidden/>
          </w:rPr>
          <w:instrText xml:space="preserve"> PAGEREF _Toc505063312 \h </w:instrText>
        </w:r>
        <w:r>
          <w:rPr>
            <w:noProof/>
            <w:webHidden/>
          </w:rPr>
        </w:r>
        <w:r>
          <w:rPr>
            <w:noProof/>
            <w:webHidden/>
          </w:rPr>
          <w:fldChar w:fldCharType="separate"/>
        </w:r>
        <w:r>
          <w:rPr>
            <w:noProof/>
            <w:webHidden/>
          </w:rPr>
          <w:t>45</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13" w:history="1">
        <w:r w:rsidRPr="002D4861">
          <w:rPr>
            <w:rStyle w:val="Lienhypertexte"/>
            <w:rFonts w:ascii="Rockwell" w:hAnsi="Rockwell"/>
            <w:noProof/>
          </w:rPr>
          <w:t>6.</w:t>
        </w:r>
        <w:r>
          <w:rPr>
            <w:rFonts w:eastAsiaTheme="minorEastAsia"/>
            <w:noProof/>
            <w:sz w:val="22"/>
            <w:szCs w:val="22"/>
            <w:lang w:eastAsia="fr-FR"/>
          </w:rPr>
          <w:tab/>
        </w:r>
        <w:r w:rsidRPr="002D4861">
          <w:rPr>
            <w:rStyle w:val="Lienhypertexte"/>
            <w:rFonts w:ascii="Rockwell" w:hAnsi="Rockwell"/>
            <w:noProof/>
          </w:rPr>
          <w:t>Cas des produits de la chimie</w:t>
        </w:r>
        <w:r>
          <w:rPr>
            <w:noProof/>
            <w:webHidden/>
          </w:rPr>
          <w:tab/>
        </w:r>
        <w:r>
          <w:rPr>
            <w:noProof/>
            <w:webHidden/>
          </w:rPr>
          <w:fldChar w:fldCharType="begin"/>
        </w:r>
        <w:r>
          <w:rPr>
            <w:noProof/>
            <w:webHidden/>
          </w:rPr>
          <w:instrText xml:space="preserve"> PAGEREF _Toc505063313 \h </w:instrText>
        </w:r>
        <w:r>
          <w:rPr>
            <w:noProof/>
            <w:webHidden/>
          </w:rPr>
        </w:r>
        <w:r>
          <w:rPr>
            <w:noProof/>
            <w:webHidden/>
          </w:rPr>
          <w:fldChar w:fldCharType="separate"/>
        </w:r>
        <w:r>
          <w:rPr>
            <w:noProof/>
            <w:webHidden/>
          </w:rPr>
          <w:t>45</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314" w:history="1">
        <w:r w:rsidRPr="002D4861">
          <w:rPr>
            <w:rStyle w:val="Lienhypertexte"/>
            <w:rFonts w:ascii="Rockwell" w:hAnsi="Rockwell"/>
            <w:noProof/>
          </w:rPr>
          <w:t>a)</w:t>
        </w:r>
        <w:r>
          <w:rPr>
            <w:rFonts w:eastAsiaTheme="minorEastAsia"/>
            <w:noProof/>
            <w:sz w:val="22"/>
            <w:szCs w:val="22"/>
            <w:lang w:eastAsia="fr-FR"/>
          </w:rPr>
          <w:tab/>
        </w:r>
        <w:r w:rsidRPr="002D4861">
          <w:rPr>
            <w:rStyle w:val="Lienhypertexte"/>
            <w:rFonts w:ascii="Rockwell" w:hAnsi="Rockwell"/>
            <w:noProof/>
          </w:rPr>
          <w:t>Eaux et extraits de javel</w:t>
        </w:r>
        <w:r>
          <w:rPr>
            <w:noProof/>
            <w:webHidden/>
          </w:rPr>
          <w:tab/>
        </w:r>
        <w:r>
          <w:rPr>
            <w:noProof/>
            <w:webHidden/>
          </w:rPr>
          <w:fldChar w:fldCharType="begin"/>
        </w:r>
        <w:r>
          <w:rPr>
            <w:noProof/>
            <w:webHidden/>
          </w:rPr>
          <w:instrText xml:space="preserve"> PAGEREF _Toc505063314 \h </w:instrText>
        </w:r>
        <w:r>
          <w:rPr>
            <w:noProof/>
            <w:webHidden/>
          </w:rPr>
        </w:r>
        <w:r>
          <w:rPr>
            <w:noProof/>
            <w:webHidden/>
          </w:rPr>
          <w:fldChar w:fldCharType="separate"/>
        </w:r>
        <w:r>
          <w:rPr>
            <w:noProof/>
            <w:webHidden/>
          </w:rPr>
          <w:t>45</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315" w:history="1">
        <w:r w:rsidRPr="002D4861">
          <w:rPr>
            <w:rStyle w:val="Lienhypertexte"/>
            <w:rFonts w:ascii="Rockwell" w:hAnsi="Rockwell"/>
            <w:noProof/>
          </w:rPr>
          <w:t>b)</w:t>
        </w:r>
        <w:r>
          <w:rPr>
            <w:rFonts w:eastAsiaTheme="minorEastAsia"/>
            <w:noProof/>
            <w:sz w:val="22"/>
            <w:szCs w:val="22"/>
            <w:lang w:eastAsia="fr-FR"/>
          </w:rPr>
          <w:tab/>
        </w:r>
        <w:r w:rsidRPr="002D4861">
          <w:rPr>
            <w:rStyle w:val="Lienhypertexte"/>
            <w:rFonts w:ascii="Rockwell" w:hAnsi="Rockwell"/>
            <w:noProof/>
          </w:rPr>
          <w:t>Le savon</w:t>
        </w:r>
        <w:r>
          <w:rPr>
            <w:noProof/>
            <w:webHidden/>
          </w:rPr>
          <w:tab/>
        </w:r>
        <w:r>
          <w:rPr>
            <w:noProof/>
            <w:webHidden/>
          </w:rPr>
          <w:fldChar w:fldCharType="begin"/>
        </w:r>
        <w:r>
          <w:rPr>
            <w:noProof/>
            <w:webHidden/>
          </w:rPr>
          <w:instrText xml:space="preserve"> PAGEREF _Toc505063315 \h </w:instrText>
        </w:r>
        <w:r>
          <w:rPr>
            <w:noProof/>
            <w:webHidden/>
          </w:rPr>
        </w:r>
        <w:r>
          <w:rPr>
            <w:noProof/>
            <w:webHidden/>
          </w:rPr>
          <w:fldChar w:fldCharType="separate"/>
        </w:r>
        <w:r>
          <w:rPr>
            <w:noProof/>
            <w:webHidden/>
          </w:rPr>
          <w:t>47</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316" w:history="1">
        <w:r w:rsidRPr="002D4861">
          <w:rPr>
            <w:rStyle w:val="Lienhypertexte"/>
            <w:rFonts w:ascii="Rockwell" w:hAnsi="Rockwell"/>
            <w:noProof/>
          </w:rPr>
          <w:t>V.</w:t>
        </w:r>
        <w:r>
          <w:rPr>
            <w:rFonts w:eastAsiaTheme="minorEastAsia"/>
            <w:b w:val="0"/>
            <w:bCs w:val="0"/>
            <w:noProof/>
            <w:lang w:eastAsia="fr-FR"/>
          </w:rPr>
          <w:tab/>
        </w:r>
        <w:r w:rsidRPr="002D4861">
          <w:rPr>
            <w:rStyle w:val="Lienhypertexte"/>
            <w:rFonts w:ascii="Rockwell" w:hAnsi="Rockwell"/>
            <w:noProof/>
          </w:rPr>
          <w:t>Quelques cas de références aux normes internationales</w:t>
        </w:r>
        <w:r>
          <w:rPr>
            <w:noProof/>
            <w:webHidden/>
          </w:rPr>
          <w:tab/>
        </w:r>
        <w:r>
          <w:rPr>
            <w:noProof/>
            <w:webHidden/>
          </w:rPr>
          <w:fldChar w:fldCharType="begin"/>
        </w:r>
        <w:r>
          <w:rPr>
            <w:noProof/>
            <w:webHidden/>
          </w:rPr>
          <w:instrText xml:space="preserve"> PAGEREF _Toc505063316 \h </w:instrText>
        </w:r>
        <w:r>
          <w:rPr>
            <w:noProof/>
            <w:webHidden/>
          </w:rPr>
        </w:r>
        <w:r>
          <w:rPr>
            <w:noProof/>
            <w:webHidden/>
          </w:rPr>
          <w:fldChar w:fldCharType="separate"/>
        </w:r>
        <w:r>
          <w:rPr>
            <w:noProof/>
            <w:webHidden/>
          </w:rPr>
          <w:t>47</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17"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Cas des meubles frigorifiques</w:t>
        </w:r>
        <w:r>
          <w:rPr>
            <w:noProof/>
            <w:webHidden/>
          </w:rPr>
          <w:tab/>
        </w:r>
        <w:r>
          <w:rPr>
            <w:noProof/>
            <w:webHidden/>
          </w:rPr>
          <w:fldChar w:fldCharType="begin"/>
        </w:r>
        <w:r>
          <w:rPr>
            <w:noProof/>
            <w:webHidden/>
          </w:rPr>
          <w:instrText xml:space="preserve"> PAGEREF _Toc505063317 \h </w:instrText>
        </w:r>
        <w:r>
          <w:rPr>
            <w:noProof/>
            <w:webHidden/>
          </w:rPr>
        </w:r>
        <w:r>
          <w:rPr>
            <w:noProof/>
            <w:webHidden/>
          </w:rPr>
          <w:fldChar w:fldCharType="separate"/>
        </w:r>
        <w:r>
          <w:rPr>
            <w:noProof/>
            <w:webHidden/>
          </w:rPr>
          <w:t>47</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18" w:history="1">
        <w:r w:rsidRPr="002D4861">
          <w:rPr>
            <w:rStyle w:val="Lienhypertexte"/>
            <w:rFonts w:ascii="Rockwell" w:hAnsi="Rockwell"/>
            <w:noProof/>
          </w:rPr>
          <w:t>a) Résistance mécanique et rigidité</w:t>
        </w:r>
        <w:r>
          <w:rPr>
            <w:noProof/>
            <w:webHidden/>
          </w:rPr>
          <w:tab/>
        </w:r>
        <w:r>
          <w:rPr>
            <w:noProof/>
            <w:webHidden/>
          </w:rPr>
          <w:fldChar w:fldCharType="begin"/>
        </w:r>
        <w:r>
          <w:rPr>
            <w:noProof/>
            <w:webHidden/>
          </w:rPr>
          <w:instrText xml:space="preserve"> PAGEREF _Toc505063318 \h </w:instrText>
        </w:r>
        <w:r>
          <w:rPr>
            <w:noProof/>
            <w:webHidden/>
          </w:rPr>
        </w:r>
        <w:r>
          <w:rPr>
            <w:noProof/>
            <w:webHidden/>
          </w:rPr>
          <w:fldChar w:fldCharType="separate"/>
        </w:r>
        <w:r>
          <w:rPr>
            <w:noProof/>
            <w:webHidden/>
          </w:rPr>
          <w:t>47</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19" w:history="1">
        <w:r w:rsidRPr="002D4861">
          <w:rPr>
            <w:rStyle w:val="Lienhypertexte"/>
            <w:rFonts w:ascii="Rockwell" w:hAnsi="Rockwell"/>
            <w:noProof/>
          </w:rPr>
          <w:t>les butées.</w:t>
        </w:r>
        <w:r>
          <w:rPr>
            <w:noProof/>
            <w:webHidden/>
          </w:rPr>
          <w:tab/>
        </w:r>
        <w:r>
          <w:rPr>
            <w:noProof/>
            <w:webHidden/>
          </w:rPr>
          <w:fldChar w:fldCharType="begin"/>
        </w:r>
        <w:r>
          <w:rPr>
            <w:noProof/>
            <w:webHidden/>
          </w:rPr>
          <w:instrText xml:space="preserve"> PAGEREF _Toc505063319 \h </w:instrText>
        </w:r>
        <w:r>
          <w:rPr>
            <w:noProof/>
            <w:webHidden/>
          </w:rPr>
        </w:r>
        <w:r>
          <w:rPr>
            <w:noProof/>
            <w:webHidden/>
          </w:rPr>
          <w:fldChar w:fldCharType="separate"/>
        </w:r>
        <w:r>
          <w:rPr>
            <w:noProof/>
            <w:webHidden/>
          </w:rPr>
          <w:t>48</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0" w:history="1">
        <w:r w:rsidRPr="002D4861">
          <w:rPr>
            <w:rStyle w:val="Lienhypertexte"/>
            <w:rFonts w:ascii="Rockwell" w:hAnsi="Rockwell"/>
            <w:noProof/>
          </w:rPr>
          <w:t>b) Tuyaux et raccordements</w:t>
        </w:r>
        <w:r>
          <w:rPr>
            <w:noProof/>
            <w:webHidden/>
          </w:rPr>
          <w:tab/>
        </w:r>
        <w:r>
          <w:rPr>
            <w:noProof/>
            <w:webHidden/>
          </w:rPr>
          <w:fldChar w:fldCharType="begin"/>
        </w:r>
        <w:r>
          <w:rPr>
            <w:noProof/>
            <w:webHidden/>
          </w:rPr>
          <w:instrText xml:space="preserve"> PAGEREF _Toc505063320 \h </w:instrText>
        </w:r>
        <w:r>
          <w:rPr>
            <w:noProof/>
            <w:webHidden/>
          </w:rPr>
        </w:r>
        <w:r>
          <w:rPr>
            <w:noProof/>
            <w:webHidden/>
          </w:rPr>
          <w:fldChar w:fldCharType="separate"/>
        </w:r>
        <w:r>
          <w:rPr>
            <w:noProof/>
            <w:webHidden/>
          </w:rPr>
          <w:t>48</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1" w:history="1">
        <w:r w:rsidRPr="002D4861">
          <w:rPr>
            <w:rStyle w:val="Lienhypertexte"/>
            <w:rFonts w:ascii="Rockwell" w:hAnsi="Rockwell"/>
            <w:noProof/>
          </w:rPr>
          <w:t>c) Évacuation des constats</w:t>
        </w:r>
        <w:r>
          <w:rPr>
            <w:noProof/>
            <w:webHidden/>
          </w:rPr>
          <w:tab/>
        </w:r>
        <w:r>
          <w:rPr>
            <w:noProof/>
            <w:webHidden/>
          </w:rPr>
          <w:fldChar w:fldCharType="begin"/>
        </w:r>
        <w:r>
          <w:rPr>
            <w:noProof/>
            <w:webHidden/>
          </w:rPr>
          <w:instrText xml:space="preserve"> PAGEREF _Toc505063321 \h </w:instrText>
        </w:r>
        <w:r>
          <w:rPr>
            <w:noProof/>
            <w:webHidden/>
          </w:rPr>
        </w:r>
        <w:r>
          <w:rPr>
            <w:noProof/>
            <w:webHidden/>
          </w:rPr>
          <w:fldChar w:fldCharType="separate"/>
        </w:r>
        <w:r>
          <w:rPr>
            <w:noProof/>
            <w:webHidden/>
          </w:rPr>
          <w:t>48</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2" w:history="1">
        <w:r w:rsidRPr="002D4861">
          <w:rPr>
            <w:rStyle w:val="Lienhypertexte"/>
            <w:rFonts w:ascii="Rockwell" w:hAnsi="Rockwell"/>
            <w:noProof/>
          </w:rPr>
          <w:t>d) Meubles frigorifiques fermés (de type libre-service)</w:t>
        </w:r>
        <w:r>
          <w:rPr>
            <w:noProof/>
            <w:webHidden/>
          </w:rPr>
          <w:tab/>
        </w:r>
        <w:r>
          <w:rPr>
            <w:noProof/>
            <w:webHidden/>
          </w:rPr>
          <w:fldChar w:fldCharType="begin"/>
        </w:r>
        <w:r>
          <w:rPr>
            <w:noProof/>
            <w:webHidden/>
          </w:rPr>
          <w:instrText xml:space="preserve"> PAGEREF _Toc505063322 \h </w:instrText>
        </w:r>
        <w:r>
          <w:rPr>
            <w:noProof/>
            <w:webHidden/>
          </w:rPr>
        </w:r>
        <w:r>
          <w:rPr>
            <w:noProof/>
            <w:webHidden/>
          </w:rPr>
          <w:fldChar w:fldCharType="separate"/>
        </w:r>
        <w:r>
          <w:rPr>
            <w:noProof/>
            <w:webHidden/>
          </w:rPr>
          <w:t>48</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3" w:history="1">
        <w:r w:rsidRPr="002D4861">
          <w:rPr>
            <w:rStyle w:val="Lienhypertexte"/>
            <w:rFonts w:ascii="Rockwell" w:hAnsi="Rockwell"/>
            <w:noProof/>
          </w:rPr>
          <w:t>e) Joints et soudures</w:t>
        </w:r>
        <w:r>
          <w:rPr>
            <w:noProof/>
            <w:webHidden/>
          </w:rPr>
          <w:tab/>
        </w:r>
        <w:r>
          <w:rPr>
            <w:noProof/>
            <w:webHidden/>
          </w:rPr>
          <w:fldChar w:fldCharType="begin"/>
        </w:r>
        <w:r>
          <w:rPr>
            <w:noProof/>
            <w:webHidden/>
          </w:rPr>
          <w:instrText xml:space="preserve"> PAGEREF _Toc505063323 \h </w:instrText>
        </w:r>
        <w:r>
          <w:rPr>
            <w:noProof/>
            <w:webHidden/>
          </w:rPr>
        </w:r>
        <w:r>
          <w:rPr>
            <w:noProof/>
            <w:webHidden/>
          </w:rPr>
          <w:fldChar w:fldCharType="separate"/>
        </w:r>
        <w:r>
          <w:rPr>
            <w:noProof/>
            <w:webHidden/>
          </w:rPr>
          <w:t>49</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4" w:history="1">
        <w:r w:rsidRPr="002D4861">
          <w:rPr>
            <w:rStyle w:val="Lienhypertexte"/>
            <w:rFonts w:ascii="Rockwell" w:hAnsi="Rockwell"/>
            <w:noProof/>
          </w:rPr>
          <w:t>f) Matériaux</w:t>
        </w:r>
        <w:r>
          <w:rPr>
            <w:noProof/>
            <w:webHidden/>
          </w:rPr>
          <w:tab/>
        </w:r>
        <w:r>
          <w:rPr>
            <w:noProof/>
            <w:webHidden/>
          </w:rPr>
          <w:fldChar w:fldCharType="begin"/>
        </w:r>
        <w:r>
          <w:rPr>
            <w:noProof/>
            <w:webHidden/>
          </w:rPr>
          <w:instrText xml:space="preserve"> PAGEREF _Toc505063324 \h </w:instrText>
        </w:r>
        <w:r>
          <w:rPr>
            <w:noProof/>
            <w:webHidden/>
          </w:rPr>
        </w:r>
        <w:r>
          <w:rPr>
            <w:noProof/>
            <w:webHidden/>
          </w:rPr>
          <w:fldChar w:fldCharType="separate"/>
        </w:r>
        <w:r>
          <w:rPr>
            <w:noProof/>
            <w:webHidden/>
          </w:rPr>
          <w:t>49</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5" w:history="1">
        <w:r w:rsidRPr="002D4861">
          <w:rPr>
            <w:rStyle w:val="Lienhypertexte"/>
            <w:rFonts w:ascii="Rockwell" w:hAnsi="Rockwell"/>
            <w:noProof/>
          </w:rPr>
          <w:t>g) Système de réfrigération</w:t>
        </w:r>
        <w:r>
          <w:rPr>
            <w:noProof/>
            <w:webHidden/>
          </w:rPr>
          <w:tab/>
        </w:r>
        <w:r>
          <w:rPr>
            <w:noProof/>
            <w:webHidden/>
          </w:rPr>
          <w:fldChar w:fldCharType="begin"/>
        </w:r>
        <w:r>
          <w:rPr>
            <w:noProof/>
            <w:webHidden/>
          </w:rPr>
          <w:instrText xml:space="preserve"> PAGEREF _Toc505063325 \h </w:instrText>
        </w:r>
        <w:r>
          <w:rPr>
            <w:noProof/>
            <w:webHidden/>
          </w:rPr>
        </w:r>
        <w:r>
          <w:rPr>
            <w:noProof/>
            <w:webHidden/>
          </w:rPr>
          <w:fldChar w:fldCharType="separate"/>
        </w:r>
        <w:r>
          <w:rPr>
            <w:noProof/>
            <w:webHidden/>
          </w:rPr>
          <w:t>50</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6" w:history="1">
        <w:r w:rsidRPr="002D4861">
          <w:rPr>
            <w:rStyle w:val="Lienhypertexte"/>
            <w:rFonts w:ascii="Rockwell" w:hAnsi="Rockwell"/>
            <w:noProof/>
          </w:rPr>
          <w:t>h) Composants électriques</w:t>
        </w:r>
        <w:r>
          <w:rPr>
            <w:noProof/>
            <w:webHidden/>
          </w:rPr>
          <w:tab/>
        </w:r>
        <w:r>
          <w:rPr>
            <w:noProof/>
            <w:webHidden/>
          </w:rPr>
          <w:fldChar w:fldCharType="begin"/>
        </w:r>
        <w:r>
          <w:rPr>
            <w:noProof/>
            <w:webHidden/>
          </w:rPr>
          <w:instrText xml:space="preserve"> PAGEREF _Toc505063326 \h </w:instrText>
        </w:r>
        <w:r>
          <w:rPr>
            <w:noProof/>
            <w:webHidden/>
          </w:rPr>
        </w:r>
        <w:r>
          <w:rPr>
            <w:noProof/>
            <w:webHidden/>
          </w:rPr>
          <w:fldChar w:fldCharType="separate"/>
        </w:r>
        <w:r>
          <w:rPr>
            <w:noProof/>
            <w:webHidden/>
          </w:rPr>
          <w:t>50</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7" w:history="1">
        <w:r w:rsidRPr="002D4861">
          <w:rPr>
            <w:rStyle w:val="Lienhypertexte"/>
            <w:rFonts w:ascii="Rockwell" w:hAnsi="Rockwell"/>
            <w:noProof/>
          </w:rPr>
          <w:t>i) Caractéristiques de fonctionnement</w:t>
        </w:r>
        <w:r>
          <w:rPr>
            <w:noProof/>
            <w:webHidden/>
          </w:rPr>
          <w:tab/>
        </w:r>
        <w:r>
          <w:rPr>
            <w:noProof/>
            <w:webHidden/>
          </w:rPr>
          <w:fldChar w:fldCharType="begin"/>
        </w:r>
        <w:r>
          <w:rPr>
            <w:noProof/>
            <w:webHidden/>
          </w:rPr>
          <w:instrText xml:space="preserve"> PAGEREF _Toc505063327 \h </w:instrText>
        </w:r>
        <w:r>
          <w:rPr>
            <w:noProof/>
            <w:webHidden/>
          </w:rPr>
        </w:r>
        <w:r>
          <w:rPr>
            <w:noProof/>
            <w:webHidden/>
          </w:rPr>
          <w:fldChar w:fldCharType="separate"/>
        </w:r>
        <w:r>
          <w:rPr>
            <w:noProof/>
            <w:webHidden/>
          </w:rPr>
          <w:t>52</w:t>
        </w:r>
        <w:r>
          <w:rPr>
            <w:noProof/>
            <w:webHidden/>
          </w:rPr>
          <w:fldChar w:fldCharType="end"/>
        </w:r>
      </w:hyperlink>
    </w:p>
    <w:p w:rsidR="00A858B0" w:rsidRDefault="00A858B0">
      <w:pPr>
        <w:pStyle w:val="TM4"/>
        <w:tabs>
          <w:tab w:val="right" w:leader="underscore" w:pos="9402"/>
        </w:tabs>
        <w:rPr>
          <w:rFonts w:eastAsiaTheme="minorEastAsia"/>
          <w:noProof/>
          <w:sz w:val="22"/>
          <w:szCs w:val="22"/>
          <w:lang w:eastAsia="fr-FR"/>
        </w:rPr>
      </w:pPr>
      <w:hyperlink w:anchor="_Toc505063328" w:history="1">
        <w:r w:rsidRPr="002D4861">
          <w:rPr>
            <w:rStyle w:val="Lienhypertexte"/>
            <w:rFonts w:ascii="Rockwell" w:hAnsi="Rockwell"/>
            <w:noProof/>
          </w:rPr>
          <w:t>j) Dégivrage</w:t>
        </w:r>
        <w:r>
          <w:rPr>
            <w:noProof/>
            <w:webHidden/>
          </w:rPr>
          <w:tab/>
        </w:r>
        <w:r>
          <w:rPr>
            <w:noProof/>
            <w:webHidden/>
          </w:rPr>
          <w:fldChar w:fldCharType="begin"/>
        </w:r>
        <w:r>
          <w:rPr>
            <w:noProof/>
            <w:webHidden/>
          </w:rPr>
          <w:instrText xml:space="preserve"> PAGEREF _Toc505063328 \h </w:instrText>
        </w:r>
        <w:r>
          <w:rPr>
            <w:noProof/>
            <w:webHidden/>
          </w:rPr>
        </w:r>
        <w:r>
          <w:rPr>
            <w:noProof/>
            <w:webHidden/>
          </w:rPr>
          <w:fldChar w:fldCharType="separate"/>
        </w:r>
        <w:r>
          <w:rPr>
            <w:noProof/>
            <w:webHidden/>
          </w:rPr>
          <w:t>53</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29"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Cas de fournitures de bureau</w:t>
        </w:r>
        <w:r>
          <w:rPr>
            <w:noProof/>
            <w:webHidden/>
          </w:rPr>
          <w:tab/>
        </w:r>
        <w:r>
          <w:rPr>
            <w:noProof/>
            <w:webHidden/>
          </w:rPr>
          <w:fldChar w:fldCharType="begin"/>
        </w:r>
        <w:r>
          <w:rPr>
            <w:noProof/>
            <w:webHidden/>
          </w:rPr>
          <w:instrText xml:space="preserve"> PAGEREF _Toc505063329 \h </w:instrText>
        </w:r>
        <w:r>
          <w:rPr>
            <w:noProof/>
            <w:webHidden/>
          </w:rPr>
        </w:r>
        <w:r>
          <w:rPr>
            <w:noProof/>
            <w:webHidden/>
          </w:rPr>
          <w:fldChar w:fldCharType="separate"/>
        </w:r>
        <w:r>
          <w:rPr>
            <w:noProof/>
            <w:webHidden/>
          </w:rPr>
          <w:t>55</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330" w:history="1">
        <w:r w:rsidRPr="002D4861">
          <w:rPr>
            <w:rStyle w:val="Lienhypertexte"/>
            <w:rFonts w:ascii="Rockwell" w:hAnsi="Rockwell"/>
            <w:noProof/>
          </w:rPr>
          <w:t>a)</w:t>
        </w:r>
        <w:r>
          <w:rPr>
            <w:rFonts w:eastAsiaTheme="minorEastAsia"/>
            <w:noProof/>
            <w:sz w:val="22"/>
            <w:szCs w:val="22"/>
            <w:lang w:eastAsia="fr-FR"/>
          </w:rPr>
          <w:tab/>
        </w:r>
        <w:r w:rsidRPr="002D4861">
          <w:rPr>
            <w:rStyle w:val="Lienhypertexte"/>
            <w:rFonts w:ascii="Rockwell" w:hAnsi="Rockwell"/>
            <w:noProof/>
          </w:rPr>
          <w:t>Exigences pour les mines pour crayons à papier (selon ISO 9180)</w:t>
        </w:r>
        <w:r>
          <w:rPr>
            <w:noProof/>
            <w:webHidden/>
          </w:rPr>
          <w:tab/>
        </w:r>
        <w:r>
          <w:rPr>
            <w:noProof/>
            <w:webHidden/>
          </w:rPr>
          <w:fldChar w:fldCharType="begin"/>
        </w:r>
        <w:r>
          <w:rPr>
            <w:noProof/>
            <w:webHidden/>
          </w:rPr>
          <w:instrText xml:space="preserve"> PAGEREF _Toc505063330 \h </w:instrText>
        </w:r>
        <w:r>
          <w:rPr>
            <w:noProof/>
            <w:webHidden/>
          </w:rPr>
        </w:r>
        <w:r>
          <w:rPr>
            <w:noProof/>
            <w:webHidden/>
          </w:rPr>
          <w:fldChar w:fldCharType="separate"/>
        </w:r>
        <w:r>
          <w:rPr>
            <w:noProof/>
            <w:webHidden/>
          </w:rPr>
          <w:t>55</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331" w:history="1">
        <w:r w:rsidRPr="002D4861">
          <w:rPr>
            <w:rStyle w:val="Lienhypertexte"/>
            <w:rFonts w:ascii="Rockwell" w:hAnsi="Rockwell"/>
            <w:noProof/>
          </w:rPr>
          <w:t>b)</w:t>
        </w:r>
        <w:r>
          <w:rPr>
            <w:rFonts w:eastAsiaTheme="minorEastAsia"/>
            <w:noProof/>
            <w:sz w:val="22"/>
            <w:szCs w:val="22"/>
            <w:lang w:eastAsia="fr-FR"/>
          </w:rPr>
          <w:tab/>
        </w:r>
        <w:r w:rsidRPr="002D4861">
          <w:rPr>
            <w:rStyle w:val="Lienhypertexte"/>
            <w:rFonts w:ascii="Rockwell" w:hAnsi="Rockwell"/>
            <w:noProof/>
          </w:rPr>
          <w:t>Exigences normatives pour les porte-mines selon (ISO 9177-1) Porte-mine - Partie 1 : Classification, dimensions, caractéristiques de fonctionnement et essais</w:t>
        </w:r>
        <w:r>
          <w:rPr>
            <w:noProof/>
            <w:webHidden/>
          </w:rPr>
          <w:tab/>
        </w:r>
        <w:r>
          <w:rPr>
            <w:noProof/>
            <w:webHidden/>
          </w:rPr>
          <w:fldChar w:fldCharType="begin"/>
        </w:r>
        <w:r>
          <w:rPr>
            <w:noProof/>
            <w:webHidden/>
          </w:rPr>
          <w:instrText xml:space="preserve"> PAGEREF _Toc505063331 \h </w:instrText>
        </w:r>
        <w:r>
          <w:rPr>
            <w:noProof/>
            <w:webHidden/>
          </w:rPr>
        </w:r>
        <w:r>
          <w:rPr>
            <w:noProof/>
            <w:webHidden/>
          </w:rPr>
          <w:fldChar w:fldCharType="separate"/>
        </w:r>
        <w:r>
          <w:rPr>
            <w:noProof/>
            <w:webHidden/>
          </w:rPr>
          <w:t>56</w:t>
        </w:r>
        <w:r>
          <w:rPr>
            <w:noProof/>
            <w:webHidden/>
          </w:rPr>
          <w:fldChar w:fldCharType="end"/>
        </w:r>
      </w:hyperlink>
    </w:p>
    <w:p w:rsidR="00A858B0" w:rsidRDefault="00A858B0">
      <w:pPr>
        <w:pStyle w:val="TM4"/>
        <w:tabs>
          <w:tab w:val="left" w:pos="1100"/>
          <w:tab w:val="right" w:leader="underscore" w:pos="9402"/>
        </w:tabs>
        <w:rPr>
          <w:rFonts w:eastAsiaTheme="minorEastAsia"/>
          <w:noProof/>
          <w:sz w:val="22"/>
          <w:szCs w:val="22"/>
          <w:lang w:eastAsia="fr-FR"/>
        </w:rPr>
      </w:pPr>
      <w:hyperlink w:anchor="_Toc505063332" w:history="1">
        <w:r w:rsidRPr="002D4861">
          <w:rPr>
            <w:rStyle w:val="Lienhypertexte"/>
            <w:rFonts w:ascii="Rockwell" w:hAnsi="Rockwell"/>
            <w:noProof/>
          </w:rPr>
          <w:t>c)</w:t>
        </w:r>
        <w:r>
          <w:rPr>
            <w:rFonts w:eastAsiaTheme="minorEastAsia"/>
            <w:noProof/>
            <w:sz w:val="22"/>
            <w:szCs w:val="22"/>
            <w:lang w:eastAsia="fr-FR"/>
          </w:rPr>
          <w:tab/>
        </w:r>
        <w:r w:rsidRPr="002D4861">
          <w:rPr>
            <w:rStyle w:val="Lienhypertexte"/>
            <w:rFonts w:ascii="Rockwell" w:hAnsi="Rockwell"/>
            <w:noProof/>
          </w:rPr>
          <w:t>Exigences pour les stylos rollers et recharges  (ISO 14145-1) Prescriptions</w:t>
        </w:r>
        <w:r>
          <w:rPr>
            <w:noProof/>
            <w:webHidden/>
          </w:rPr>
          <w:tab/>
        </w:r>
        <w:r>
          <w:rPr>
            <w:noProof/>
            <w:webHidden/>
          </w:rPr>
          <w:fldChar w:fldCharType="begin"/>
        </w:r>
        <w:r>
          <w:rPr>
            <w:noProof/>
            <w:webHidden/>
          </w:rPr>
          <w:instrText xml:space="preserve"> PAGEREF _Toc505063332 \h </w:instrText>
        </w:r>
        <w:r>
          <w:rPr>
            <w:noProof/>
            <w:webHidden/>
          </w:rPr>
        </w:r>
        <w:r>
          <w:rPr>
            <w:noProof/>
            <w:webHidden/>
          </w:rPr>
          <w:fldChar w:fldCharType="separate"/>
        </w:r>
        <w:r>
          <w:rPr>
            <w:noProof/>
            <w:webHidden/>
          </w:rPr>
          <w:t>57</w:t>
        </w:r>
        <w:r>
          <w:rPr>
            <w:noProof/>
            <w:webHidden/>
          </w:rPr>
          <w:fldChar w:fldCharType="end"/>
        </w:r>
      </w:hyperlink>
    </w:p>
    <w:p w:rsidR="00A858B0" w:rsidRDefault="00A858B0">
      <w:pPr>
        <w:pStyle w:val="TM2"/>
        <w:tabs>
          <w:tab w:val="left" w:pos="880"/>
          <w:tab w:val="right" w:leader="underscore" w:pos="9402"/>
        </w:tabs>
        <w:rPr>
          <w:rFonts w:eastAsiaTheme="minorEastAsia"/>
          <w:b w:val="0"/>
          <w:bCs w:val="0"/>
          <w:noProof/>
          <w:lang w:eastAsia="fr-FR"/>
        </w:rPr>
      </w:pPr>
      <w:hyperlink w:anchor="_Toc505063333" w:history="1">
        <w:r w:rsidRPr="002D4861">
          <w:rPr>
            <w:rStyle w:val="Lienhypertexte"/>
            <w:rFonts w:ascii="Rockwell" w:hAnsi="Rockwell"/>
            <w:noProof/>
          </w:rPr>
          <w:t>VI.</w:t>
        </w:r>
        <w:r>
          <w:rPr>
            <w:rFonts w:eastAsiaTheme="minorEastAsia"/>
            <w:b w:val="0"/>
            <w:bCs w:val="0"/>
            <w:noProof/>
            <w:lang w:eastAsia="fr-FR"/>
          </w:rPr>
          <w:tab/>
        </w:r>
        <w:r w:rsidRPr="002D4861">
          <w:rPr>
            <w:rStyle w:val="Lienhypertexte"/>
            <w:rFonts w:ascii="Rockwell" w:hAnsi="Rockwell"/>
            <w:noProof/>
          </w:rPr>
          <w:t>Références normatives recommandées pour les autres produits dans le cadre des achats publics</w:t>
        </w:r>
        <w:r>
          <w:rPr>
            <w:noProof/>
            <w:webHidden/>
          </w:rPr>
          <w:tab/>
        </w:r>
        <w:r>
          <w:rPr>
            <w:noProof/>
            <w:webHidden/>
          </w:rPr>
          <w:fldChar w:fldCharType="begin"/>
        </w:r>
        <w:r>
          <w:rPr>
            <w:noProof/>
            <w:webHidden/>
          </w:rPr>
          <w:instrText xml:space="preserve"> PAGEREF _Toc505063333 \h </w:instrText>
        </w:r>
        <w:r>
          <w:rPr>
            <w:noProof/>
            <w:webHidden/>
          </w:rPr>
        </w:r>
        <w:r>
          <w:rPr>
            <w:noProof/>
            <w:webHidden/>
          </w:rPr>
          <w:fldChar w:fldCharType="separate"/>
        </w:r>
        <w:r>
          <w:rPr>
            <w:noProof/>
            <w:webHidden/>
          </w:rPr>
          <w:t>58</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4" w:history="1">
        <w:r w:rsidRPr="002D4861">
          <w:rPr>
            <w:rStyle w:val="Lienhypertexte"/>
            <w:rFonts w:ascii="Rockwell" w:hAnsi="Rockwell"/>
            <w:noProof/>
          </w:rPr>
          <w:t>1.</w:t>
        </w:r>
        <w:r>
          <w:rPr>
            <w:rFonts w:eastAsiaTheme="minorEastAsia"/>
            <w:noProof/>
            <w:sz w:val="22"/>
            <w:szCs w:val="22"/>
            <w:lang w:eastAsia="fr-FR"/>
          </w:rPr>
          <w:tab/>
        </w:r>
        <w:r w:rsidRPr="002D4861">
          <w:rPr>
            <w:rStyle w:val="Lienhypertexte"/>
            <w:rFonts w:ascii="Rockwell" w:hAnsi="Rockwell"/>
            <w:noProof/>
          </w:rPr>
          <w:t>Industrie mécanique et électrique/ produits de construction</w:t>
        </w:r>
        <w:r>
          <w:rPr>
            <w:noProof/>
            <w:webHidden/>
          </w:rPr>
          <w:tab/>
        </w:r>
        <w:r>
          <w:rPr>
            <w:noProof/>
            <w:webHidden/>
          </w:rPr>
          <w:fldChar w:fldCharType="begin"/>
        </w:r>
        <w:r>
          <w:rPr>
            <w:noProof/>
            <w:webHidden/>
          </w:rPr>
          <w:instrText xml:space="preserve"> PAGEREF _Toc505063334 \h </w:instrText>
        </w:r>
        <w:r>
          <w:rPr>
            <w:noProof/>
            <w:webHidden/>
          </w:rPr>
        </w:r>
        <w:r>
          <w:rPr>
            <w:noProof/>
            <w:webHidden/>
          </w:rPr>
          <w:fldChar w:fldCharType="separate"/>
        </w:r>
        <w:r>
          <w:rPr>
            <w:noProof/>
            <w:webHidden/>
          </w:rPr>
          <w:t>58</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5" w:history="1">
        <w:r w:rsidRPr="002D4861">
          <w:rPr>
            <w:rStyle w:val="Lienhypertexte"/>
            <w:rFonts w:ascii="Rockwell" w:hAnsi="Rockwell"/>
            <w:noProof/>
          </w:rPr>
          <w:t>2.</w:t>
        </w:r>
        <w:r>
          <w:rPr>
            <w:rFonts w:eastAsiaTheme="minorEastAsia"/>
            <w:noProof/>
            <w:sz w:val="22"/>
            <w:szCs w:val="22"/>
            <w:lang w:eastAsia="fr-FR"/>
          </w:rPr>
          <w:tab/>
        </w:r>
        <w:r w:rsidRPr="002D4861">
          <w:rPr>
            <w:rStyle w:val="Lienhypertexte"/>
            <w:rFonts w:ascii="Rockwell" w:hAnsi="Rockwell"/>
            <w:noProof/>
          </w:rPr>
          <w:t>Mobilier</w:t>
        </w:r>
        <w:r>
          <w:rPr>
            <w:noProof/>
            <w:webHidden/>
          </w:rPr>
          <w:tab/>
        </w:r>
        <w:r>
          <w:rPr>
            <w:noProof/>
            <w:webHidden/>
          </w:rPr>
          <w:fldChar w:fldCharType="begin"/>
        </w:r>
        <w:r>
          <w:rPr>
            <w:noProof/>
            <w:webHidden/>
          </w:rPr>
          <w:instrText xml:space="preserve"> PAGEREF _Toc505063335 \h </w:instrText>
        </w:r>
        <w:r>
          <w:rPr>
            <w:noProof/>
            <w:webHidden/>
          </w:rPr>
        </w:r>
        <w:r>
          <w:rPr>
            <w:noProof/>
            <w:webHidden/>
          </w:rPr>
          <w:fldChar w:fldCharType="separate"/>
        </w:r>
        <w:r>
          <w:rPr>
            <w:noProof/>
            <w:webHidden/>
          </w:rPr>
          <w:t>59</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6" w:history="1">
        <w:r w:rsidRPr="002D4861">
          <w:rPr>
            <w:rStyle w:val="Lienhypertexte"/>
            <w:rFonts w:ascii="Rockwell" w:hAnsi="Rockwell"/>
            <w:noProof/>
          </w:rPr>
          <w:t>3.</w:t>
        </w:r>
        <w:r>
          <w:rPr>
            <w:rFonts w:eastAsiaTheme="minorEastAsia"/>
            <w:noProof/>
            <w:sz w:val="22"/>
            <w:szCs w:val="22"/>
            <w:lang w:eastAsia="fr-FR"/>
          </w:rPr>
          <w:tab/>
        </w:r>
        <w:r w:rsidRPr="002D4861">
          <w:rPr>
            <w:rStyle w:val="Lienhypertexte"/>
            <w:rFonts w:ascii="Rockwell" w:hAnsi="Rockwell"/>
            <w:noProof/>
          </w:rPr>
          <w:t>Matériel scolaire et artifices de divertissement</w:t>
        </w:r>
        <w:r>
          <w:rPr>
            <w:noProof/>
            <w:webHidden/>
          </w:rPr>
          <w:tab/>
        </w:r>
        <w:r>
          <w:rPr>
            <w:noProof/>
            <w:webHidden/>
          </w:rPr>
          <w:fldChar w:fldCharType="begin"/>
        </w:r>
        <w:r>
          <w:rPr>
            <w:noProof/>
            <w:webHidden/>
          </w:rPr>
          <w:instrText xml:space="preserve"> PAGEREF _Toc505063336 \h </w:instrText>
        </w:r>
        <w:r>
          <w:rPr>
            <w:noProof/>
            <w:webHidden/>
          </w:rPr>
        </w:r>
        <w:r>
          <w:rPr>
            <w:noProof/>
            <w:webHidden/>
          </w:rPr>
          <w:fldChar w:fldCharType="separate"/>
        </w:r>
        <w:r>
          <w:rPr>
            <w:noProof/>
            <w:webHidden/>
          </w:rPr>
          <w:t>60</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7" w:history="1">
        <w:r w:rsidRPr="002D4861">
          <w:rPr>
            <w:rStyle w:val="Lienhypertexte"/>
            <w:rFonts w:ascii="Rockwell" w:hAnsi="Rockwell"/>
            <w:noProof/>
          </w:rPr>
          <w:t>4.</w:t>
        </w:r>
        <w:r>
          <w:rPr>
            <w:rFonts w:eastAsiaTheme="minorEastAsia"/>
            <w:noProof/>
            <w:sz w:val="22"/>
            <w:szCs w:val="22"/>
            <w:lang w:eastAsia="fr-FR"/>
          </w:rPr>
          <w:tab/>
        </w:r>
        <w:r w:rsidRPr="002D4861">
          <w:rPr>
            <w:rStyle w:val="Lienhypertexte"/>
            <w:rFonts w:ascii="Rockwell" w:hAnsi="Rockwell"/>
            <w:noProof/>
          </w:rPr>
          <w:t>Exigences pour les laboratoires biomédicaux</w:t>
        </w:r>
        <w:r>
          <w:rPr>
            <w:noProof/>
            <w:webHidden/>
          </w:rPr>
          <w:tab/>
        </w:r>
        <w:r>
          <w:rPr>
            <w:noProof/>
            <w:webHidden/>
          </w:rPr>
          <w:fldChar w:fldCharType="begin"/>
        </w:r>
        <w:r>
          <w:rPr>
            <w:noProof/>
            <w:webHidden/>
          </w:rPr>
          <w:instrText xml:space="preserve"> PAGEREF _Toc505063337 \h </w:instrText>
        </w:r>
        <w:r>
          <w:rPr>
            <w:noProof/>
            <w:webHidden/>
          </w:rPr>
        </w:r>
        <w:r>
          <w:rPr>
            <w:noProof/>
            <w:webHidden/>
          </w:rPr>
          <w:fldChar w:fldCharType="separate"/>
        </w:r>
        <w:r>
          <w:rPr>
            <w:noProof/>
            <w:webHidden/>
          </w:rPr>
          <w:t>61</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8" w:history="1">
        <w:r w:rsidRPr="002D4861">
          <w:rPr>
            <w:rStyle w:val="Lienhypertexte"/>
            <w:rFonts w:ascii="Rockwell" w:hAnsi="Rockwell"/>
            <w:noProof/>
          </w:rPr>
          <w:t>5.</w:t>
        </w:r>
        <w:r>
          <w:rPr>
            <w:rFonts w:eastAsiaTheme="minorEastAsia"/>
            <w:noProof/>
            <w:sz w:val="22"/>
            <w:szCs w:val="22"/>
            <w:lang w:eastAsia="fr-FR"/>
          </w:rPr>
          <w:tab/>
        </w:r>
        <w:r w:rsidRPr="002D4861">
          <w:rPr>
            <w:rStyle w:val="Lienhypertexte"/>
            <w:rFonts w:ascii="Rockwell" w:hAnsi="Rockwell"/>
            <w:noProof/>
          </w:rPr>
          <w:t>Exigences pour les implants chirurgicaux</w:t>
        </w:r>
        <w:r>
          <w:rPr>
            <w:noProof/>
            <w:webHidden/>
          </w:rPr>
          <w:tab/>
        </w:r>
        <w:r>
          <w:rPr>
            <w:noProof/>
            <w:webHidden/>
          </w:rPr>
          <w:fldChar w:fldCharType="begin"/>
        </w:r>
        <w:r>
          <w:rPr>
            <w:noProof/>
            <w:webHidden/>
          </w:rPr>
          <w:instrText xml:space="preserve"> PAGEREF _Toc505063338 \h </w:instrText>
        </w:r>
        <w:r>
          <w:rPr>
            <w:noProof/>
            <w:webHidden/>
          </w:rPr>
        </w:r>
        <w:r>
          <w:rPr>
            <w:noProof/>
            <w:webHidden/>
          </w:rPr>
          <w:fldChar w:fldCharType="separate"/>
        </w:r>
        <w:r>
          <w:rPr>
            <w:noProof/>
            <w:webHidden/>
          </w:rPr>
          <w:t>64</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39" w:history="1">
        <w:r w:rsidRPr="002D4861">
          <w:rPr>
            <w:rStyle w:val="Lienhypertexte"/>
            <w:rFonts w:ascii="Rockwell" w:hAnsi="Rockwell"/>
            <w:noProof/>
          </w:rPr>
          <w:t>6.</w:t>
        </w:r>
        <w:r>
          <w:rPr>
            <w:rFonts w:eastAsiaTheme="minorEastAsia"/>
            <w:noProof/>
            <w:sz w:val="22"/>
            <w:szCs w:val="22"/>
            <w:lang w:eastAsia="fr-FR"/>
          </w:rPr>
          <w:tab/>
        </w:r>
        <w:r w:rsidRPr="002D4861">
          <w:rPr>
            <w:rStyle w:val="Lienhypertexte"/>
            <w:rFonts w:ascii="Rockwell" w:hAnsi="Rockwell"/>
            <w:noProof/>
          </w:rPr>
          <w:t>Exigences normatives dans le domaine de l’énergie solaire/ photovoltaïque</w:t>
        </w:r>
        <w:r>
          <w:rPr>
            <w:noProof/>
            <w:webHidden/>
          </w:rPr>
          <w:tab/>
        </w:r>
        <w:r>
          <w:rPr>
            <w:noProof/>
            <w:webHidden/>
          </w:rPr>
          <w:fldChar w:fldCharType="begin"/>
        </w:r>
        <w:r>
          <w:rPr>
            <w:noProof/>
            <w:webHidden/>
          </w:rPr>
          <w:instrText xml:space="preserve"> PAGEREF _Toc505063339 \h </w:instrText>
        </w:r>
        <w:r>
          <w:rPr>
            <w:noProof/>
            <w:webHidden/>
          </w:rPr>
        </w:r>
        <w:r>
          <w:rPr>
            <w:noProof/>
            <w:webHidden/>
          </w:rPr>
          <w:fldChar w:fldCharType="separate"/>
        </w:r>
        <w:r>
          <w:rPr>
            <w:noProof/>
            <w:webHidden/>
          </w:rPr>
          <w:t>64</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40" w:history="1">
        <w:r w:rsidRPr="002D4861">
          <w:rPr>
            <w:rStyle w:val="Lienhypertexte"/>
            <w:rFonts w:ascii="Rockwell" w:hAnsi="Rockwell"/>
            <w:noProof/>
          </w:rPr>
          <w:t>7.</w:t>
        </w:r>
        <w:r>
          <w:rPr>
            <w:rFonts w:eastAsiaTheme="minorEastAsia"/>
            <w:noProof/>
            <w:sz w:val="22"/>
            <w:szCs w:val="22"/>
            <w:lang w:eastAsia="fr-FR"/>
          </w:rPr>
          <w:tab/>
        </w:r>
        <w:r w:rsidRPr="002D4861">
          <w:rPr>
            <w:rStyle w:val="Lienhypertexte"/>
            <w:rFonts w:ascii="Rockwell" w:hAnsi="Rockwell"/>
            <w:noProof/>
          </w:rPr>
          <w:t>Exigences normatives pour les contraceptifs non systémiques et barrière prophylactique contre les IST</w:t>
        </w:r>
        <w:r>
          <w:rPr>
            <w:noProof/>
            <w:webHidden/>
          </w:rPr>
          <w:tab/>
        </w:r>
        <w:r>
          <w:rPr>
            <w:noProof/>
            <w:webHidden/>
          </w:rPr>
          <w:fldChar w:fldCharType="begin"/>
        </w:r>
        <w:r>
          <w:rPr>
            <w:noProof/>
            <w:webHidden/>
          </w:rPr>
          <w:instrText xml:space="preserve"> PAGEREF _Toc505063340 \h </w:instrText>
        </w:r>
        <w:r>
          <w:rPr>
            <w:noProof/>
            <w:webHidden/>
          </w:rPr>
        </w:r>
        <w:r>
          <w:rPr>
            <w:noProof/>
            <w:webHidden/>
          </w:rPr>
          <w:fldChar w:fldCharType="separate"/>
        </w:r>
        <w:r>
          <w:rPr>
            <w:noProof/>
            <w:webHidden/>
          </w:rPr>
          <w:t>65</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41" w:history="1">
        <w:r w:rsidRPr="002D4861">
          <w:rPr>
            <w:rStyle w:val="Lienhypertexte"/>
            <w:rFonts w:ascii="Rockwell" w:hAnsi="Rockwell"/>
            <w:noProof/>
          </w:rPr>
          <w:t>8.</w:t>
        </w:r>
        <w:r>
          <w:rPr>
            <w:rFonts w:eastAsiaTheme="minorEastAsia"/>
            <w:noProof/>
            <w:sz w:val="22"/>
            <w:szCs w:val="22"/>
            <w:lang w:eastAsia="fr-FR"/>
          </w:rPr>
          <w:tab/>
        </w:r>
        <w:r w:rsidRPr="002D4861">
          <w:rPr>
            <w:rStyle w:val="Lienhypertexte"/>
            <w:rFonts w:ascii="Rockwell" w:hAnsi="Rockwell"/>
            <w:noProof/>
          </w:rPr>
          <w:t>Exigences relatives aux cycles et cyclomoteurs</w:t>
        </w:r>
        <w:r>
          <w:rPr>
            <w:noProof/>
            <w:webHidden/>
          </w:rPr>
          <w:tab/>
        </w:r>
        <w:r>
          <w:rPr>
            <w:noProof/>
            <w:webHidden/>
          </w:rPr>
          <w:fldChar w:fldCharType="begin"/>
        </w:r>
        <w:r>
          <w:rPr>
            <w:noProof/>
            <w:webHidden/>
          </w:rPr>
          <w:instrText xml:space="preserve"> PAGEREF _Toc505063341 \h </w:instrText>
        </w:r>
        <w:r>
          <w:rPr>
            <w:noProof/>
            <w:webHidden/>
          </w:rPr>
        </w:r>
        <w:r>
          <w:rPr>
            <w:noProof/>
            <w:webHidden/>
          </w:rPr>
          <w:fldChar w:fldCharType="separate"/>
        </w:r>
        <w:r>
          <w:rPr>
            <w:noProof/>
            <w:webHidden/>
          </w:rPr>
          <w:t>66</w:t>
        </w:r>
        <w:r>
          <w:rPr>
            <w:noProof/>
            <w:webHidden/>
          </w:rPr>
          <w:fldChar w:fldCharType="end"/>
        </w:r>
      </w:hyperlink>
    </w:p>
    <w:p w:rsidR="00A858B0" w:rsidRDefault="00A858B0">
      <w:pPr>
        <w:pStyle w:val="TM3"/>
        <w:tabs>
          <w:tab w:val="left" w:pos="880"/>
          <w:tab w:val="right" w:leader="underscore" w:pos="9402"/>
        </w:tabs>
        <w:rPr>
          <w:rFonts w:eastAsiaTheme="minorEastAsia"/>
          <w:noProof/>
          <w:sz w:val="22"/>
          <w:szCs w:val="22"/>
          <w:lang w:eastAsia="fr-FR"/>
        </w:rPr>
      </w:pPr>
      <w:hyperlink w:anchor="_Toc505063342" w:history="1">
        <w:r w:rsidRPr="002D4861">
          <w:rPr>
            <w:rStyle w:val="Lienhypertexte"/>
            <w:rFonts w:ascii="Rockwell" w:hAnsi="Rockwell"/>
            <w:noProof/>
          </w:rPr>
          <w:t>9.</w:t>
        </w:r>
        <w:r>
          <w:rPr>
            <w:rFonts w:eastAsiaTheme="minorEastAsia"/>
            <w:noProof/>
            <w:sz w:val="22"/>
            <w:szCs w:val="22"/>
            <w:lang w:eastAsia="fr-FR"/>
          </w:rPr>
          <w:tab/>
        </w:r>
        <w:r w:rsidRPr="002D4861">
          <w:rPr>
            <w:rStyle w:val="Lienhypertexte"/>
            <w:rFonts w:ascii="Rockwell" w:hAnsi="Rockwell"/>
            <w:noProof/>
          </w:rPr>
          <w:t>Exigences normatives pour les véhicules routiers</w:t>
        </w:r>
        <w:r>
          <w:rPr>
            <w:noProof/>
            <w:webHidden/>
          </w:rPr>
          <w:tab/>
        </w:r>
        <w:r>
          <w:rPr>
            <w:noProof/>
            <w:webHidden/>
          </w:rPr>
          <w:fldChar w:fldCharType="begin"/>
        </w:r>
        <w:r>
          <w:rPr>
            <w:noProof/>
            <w:webHidden/>
          </w:rPr>
          <w:instrText xml:space="preserve"> PAGEREF _Toc505063342 \h </w:instrText>
        </w:r>
        <w:r>
          <w:rPr>
            <w:noProof/>
            <w:webHidden/>
          </w:rPr>
        </w:r>
        <w:r>
          <w:rPr>
            <w:noProof/>
            <w:webHidden/>
          </w:rPr>
          <w:fldChar w:fldCharType="separate"/>
        </w:r>
        <w:r>
          <w:rPr>
            <w:noProof/>
            <w:webHidden/>
          </w:rPr>
          <w:t>66</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343" w:history="1">
        <w:r w:rsidRPr="002D4861">
          <w:rPr>
            <w:rStyle w:val="Lienhypertexte"/>
            <w:rFonts w:ascii="Rockwell" w:hAnsi="Rockwell"/>
            <w:noProof/>
          </w:rPr>
          <w:t>ANNEXES</w:t>
        </w:r>
        <w:r>
          <w:rPr>
            <w:noProof/>
            <w:webHidden/>
          </w:rPr>
          <w:tab/>
        </w:r>
        <w:r>
          <w:rPr>
            <w:noProof/>
            <w:webHidden/>
          </w:rPr>
          <w:fldChar w:fldCharType="begin"/>
        </w:r>
        <w:r>
          <w:rPr>
            <w:noProof/>
            <w:webHidden/>
          </w:rPr>
          <w:instrText xml:space="preserve"> PAGEREF _Toc505063343 \h </w:instrText>
        </w:r>
        <w:r>
          <w:rPr>
            <w:noProof/>
            <w:webHidden/>
          </w:rPr>
        </w:r>
        <w:r>
          <w:rPr>
            <w:noProof/>
            <w:webHidden/>
          </w:rPr>
          <w:fldChar w:fldCharType="separate"/>
        </w:r>
        <w:r>
          <w:rPr>
            <w:noProof/>
            <w:webHidden/>
          </w:rPr>
          <w:t>69</w:t>
        </w:r>
        <w:r>
          <w:rPr>
            <w:noProof/>
            <w:webHidden/>
          </w:rPr>
          <w:fldChar w:fldCharType="end"/>
        </w:r>
      </w:hyperlink>
    </w:p>
    <w:p w:rsidR="00A858B0" w:rsidRDefault="00A858B0">
      <w:pPr>
        <w:pStyle w:val="TM1"/>
        <w:tabs>
          <w:tab w:val="right" w:leader="underscore" w:pos="9402"/>
        </w:tabs>
        <w:rPr>
          <w:rFonts w:eastAsiaTheme="minorEastAsia"/>
          <w:b w:val="0"/>
          <w:bCs w:val="0"/>
          <w:i w:val="0"/>
          <w:iCs w:val="0"/>
          <w:noProof/>
          <w:sz w:val="22"/>
          <w:szCs w:val="22"/>
          <w:lang w:eastAsia="fr-FR"/>
        </w:rPr>
      </w:pPr>
      <w:hyperlink w:anchor="_Toc505063344" w:history="1">
        <w:r w:rsidRPr="002D4861">
          <w:rPr>
            <w:rStyle w:val="Lienhypertexte"/>
            <w:rFonts w:ascii="Rockwell" w:hAnsi="Rockwell"/>
            <w:noProof/>
          </w:rPr>
          <w:t>BIBLIOGRAPHIE</w:t>
        </w:r>
        <w:r>
          <w:rPr>
            <w:noProof/>
            <w:webHidden/>
          </w:rPr>
          <w:tab/>
        </w:r>
        <w:r>
          <w:rPr>
            <w:noProof/>
            <w:webHidden/>
          </w:rPr>
          <w:fldChar w:fldCharType="begin"/>
        </w:r>
        <w:r>
          <w:rPr>
            <w:noProof/>
            <w:webHidden/>
          </w:rPr>
          <w:instrText xml:space="preserve"> PAGEREF _Toc505063344 \h </w:instrText>
        </w:r>
        <w:r>
          <w:rPr>
            <w:noProof/>
            <w:webHidden/>
          </w:rPr>
        </w:r>
        <w:r>
          <w:rPr>
            <w:noProof/>
            <w:webHidden/>
          </w:rPr>
          <w:fldChar w:fldCharType="separate"/>
        </w:r>
        <w:r>
          <w:rPr>
            <w:noProof/>
            <w:webHidden/>
          </w:rPr>
          <w:t>I</w:t>
        </w:r>
        <w:r>
          <w:rPr>
            <w:noProof/>
            <w:webHidden/>
          </w:rPr>
          <w:fldChar w:fldCharType="end"/>
        </w:r>
      </w:hyperlink>
    </w:p>
    <w:p w:rsidR="00F17859" w:rsidRPr="0061020E" w:rsidRDefault="00F17859" w:rsidP="008F6018">
      <w:pPr>
        <w:spacing w:after="120" w:line="240" w:lineRule="auto"/>
        <w:jc w:val="both"/>
        <w:rPr>
          <w:rFonts w:ascii="Rockwell" w:eastAsia="Arial Unicode MS" w:hAnsi="Rockwell" w:cs="Arial"/>
          <w:b/>
          <w:color w:val="999999"/>
          <w:sz w:val="24"/>
          <w:szCs w:val="24"/>
        </w:rPr>
      </w:pPr>
      <w:r w:rsidRPr="0061020E">
        <w:rPr>
          <w:rFonts w:ascii="Rockwell" w:eastAsia="Arial Unicode MS" w:hAnsi="Rockwell" w:cs="Arial"/>
          <w:b/>
          <w:color w:val="999999"/>
          <w:sz w:val="24"/>
          <w:szCs w:val="24"/>
        </w:rPr>
        <w:fldChar w:fldCharType="end"/>
      </w: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F17859" w:rsidRPr="0061020E" w:rsidRDefault="00F17859" w:rsidP="008F6018">
      <w:pPr>
        <w:spacing w:after="120" w:line="240" w:lineRule="auto"/>
        <w:jc w:val="both"/>
        <w:rPr>
          <w:rFonts w:ascii="Rockwell" w:eastAsia="Arial Unicode MS" w:hAnsi="Rockwell" w:cs="Arial"/>
          <w:b/>
          <w:color w:val="999999"/>
          <w:sz w:val="24"/>
          <w:szCs w:val="24"/>
        </w:rPr>
      </w:pPr>
    </w:p>
    <w:p w:rsidR="006976C6" w:rsidRPr="0061020E" w:rsidRDefault="006976C6" w:rsidP="008F6018">
      <w:pPr>
        <w:spacing w:after="120" w:line="240" w:lineRule="auto"/>
        <w:jc w:val="both"/>
        <w:rPr>
          <w:rFonts w:ascii="Rockwell" w:hAnsi="Rockwell"/>
          <w:sz w:val="24"/>
          <w:szCs w:val="24"/>
        </w:rPr>
      </w:pPr>
    </w:p>
    <w:p w:rsidR="006976C6" w:rsidRPr="0061020E" w:rsidRDefault="006976C6" w:rsidP="008F6018">
      <w:pPr>
        <w:spacing w:after="120" w:line="240" w:lineRule="auto"/>
        <w:jc w:val="both"/>
        <w:rPr>
          <w:rFonts w:ascii="Rockwell" w:hAnsi="Rockwell"/>
          <w:color w:val="FF0000"/>
          <w:sz w:val="24"/>
          <w:szCs w:val="24"/>
        </w:rPr>
      </w:pPr>
    </w:p>
    <w:sectPr w:rsidR="006976C6" w:rsidRPr="0061020E" w:rsidSect="00F05914">
      <w:pgSz w:w="11906" w:h="16838"/>
      <w:pgMar w:top="851" w:right="1247" w:bottom="851" w:left="1247" w:header="709" w:footer="709" w:gutter="0"/>
      <w:pgNumType w:fmt="upperRoman"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DA8" w:rsidRDefault="00017DA8" w:rsidP="00A30054">
      <w:pPr>
        <w:spacing w:after="0" w:line="240" w:lineRule="auto"/>
      </w:pPr>
      <w:r>
        <w:separator/>
      </w:r>
    </w:p>
  </w:endnote>
  <w:endnote w:type="continuationSeparator" w:id="0">
    <w:p w:rsidR="00017DA8" w:rsidRDefault="00017DA8" w:rsidP="00A30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onotype Corsiva">
    <w:panose1 w:val="03010101010201010101"/>
    <w:charset w:val="00"/>
    <w:family w:val="script"/>
    <w:pitch w:val="variable"/>
    <w:sig w:usb0="00000287" w:usb1="00000000" w:usb2="00000000" w:usb3="00000000" w:csb0="0000009F" w:csb1="00000000"/>
  </w:font>
  <w:font w:name="Magneto">
    <w:panose1 w:val="04030805050802020D02"/>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Estrangelo Edessa">
    <w:panose1 w:val="03080600000000000000"/>
    <w:charset w:val="01"/>
    <w:family w:val="roman"/>
    <w:notTrueType/>
    <w:pitch w:val="variable"/>
  </w:font>
  <w:font w:name="MT-Symbo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310692"/>
      <w:docPartObj>
        <w:docPartGallery w:val="Page Numbers (Bottom of Page)"/>
        <w:docPartUnique/>
      </w:docPartObj>
    </w:sdtPr>
    <w:sdtEndPr/>
    <w:sdtContent>
      <w:p w:rsidR="00751545" w:rsidRDefault="00751545">
        <w:pPr>
          <w:pStyle w:val="Pieddepage"/>
          <w:jc w:val="right"/>
        </w:pPr>
        <w:r>
          <w:fldChar w:fldCharType="begin"/>
        </w:r>
        <w:r>
          <w:instrText>PAGE   \* MERGEFORMAT</w:instrText>
        </w:r>
        <w:r>
          <w:fldChar w:fldCharType="separate"/>
        </w:r>
        <w:r w:rsidR="00A858B0">
          <w:rPr>
            <w:noProof/>
          </w:rPr>
          <w:t>I</w:t>
        </w:r>
        <w:r>
          <w:fldChar w:fldCharType="end"/>
        </w:r>
      </w:p>
    </w:sdtContent>
  </w:sdt>
  <w:p w:rsidR="00751545" w:rsidRDefault="0075154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DA8" w:rsidRDefault="00017DA8" w:rsidP="00A30054">
      <w:pPr>
        <w:spacing w:after="0" w:line="240" w:lineRule="auto"/>
      </w:pPr>
      <w:r>
        <w:separator/>
      </w:r>
    </w:p>
  </w:footnote>
  <w:footnote w:type="continuationSeparator" w:id="0">
    <w:p w:rsidR="00017DA8" w:rsidRDefault="00017DA8" w:rsidP="00A30054">
      <w:pPr>
        <w:spacing w:after="0" w:line="240" w:lineRule="auto"/>
      </w:pPr>
      <w:r>
        <w:continuationSeparator/>
      </w:r>
    </w:p>
  </w:footnote>
  <w:footnote w:id="1">
    <w:p w:rsidR="00751545" w:rsidRPr="00717ACC" w:rsidRDefault="00751545">
      <w:pPr>
        <w:pStyle w:val="Notedebasdepage"/>
      </w:pPr>
      <w:r>
        <w:rPr>
          <w:rStyle w:val="Appelnotedebasdep"/>
        </w:rPr>
        <w:footnoteRef/>
      </w:r>
      <w:r>
        <w:t xml:space="preserve"> Voir ABNORM pour acquisitions des normes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A3B"/>
      </v:shape>
    </w:pict>
  </w:numPicBullet>
  <w:abstractNum w:abstractNumId="0" w15:restartNumberingAfterBreak="0">
    <w:nsid w:val="FFFFFF7C"/>
    <w:multiLevelType w:val="singleLevel"/>
    <w:tmpl w:val="3D2C5496"/>
    <w:styleLink w:val="Stile1"/>
    <w:lvl w:ilvl="0">
      <w:start w:val="1"/>
      <w:numFmt w:val="decimal"/>
      <w:pStyle w:val="Listenumros5"/>
      <w:lvlText w:val="%1."/>
      <w:lvlJc w:val="left"/>
      <w:pPr>
        <w:tabs>
          <w:tab w:val="num" w:pos="1492"/>
        </w:tabs>
        <w:ind w:left="1492" w:hanging="360"/>
      </w:pPr>
    </w:lvl>
  </w:abstractNum>
  <w:abstractNum w:abstractNumId="1" w15:restartNumberingAfterBreak="0">
    <w:nsid w:val="FFFFFF7F"/>
    <w:multiLevelType w:val="singleLevel"/>
    <w:tmpl w:val="8318C57C"/>
    <w:lvl w:ilvl="0">
      <w:start w:val="1"/>
      <w:numFmt w:val="decimal"/>
      <w:pStyle w:val="Listenumros2"/>
      <w:lvlText w:val="%1."/>
      <w:lvlJc w:val="left"/>
      <w:pPr>
        <w:tabs>
          <w:tab w:val="num" w:pos="643"/>
        </w:tabs>
        <w:ind w:left="643" w:hanging="360"/>
      </w:pPr>
    </w:lvl>
  </w:abstractNum>
  <w:abstractNum w:abstractNumId="2" w15:restartNumberingAfterBreak="0">
    <w:nsid w:val="FFFFFF80"/>
    <w:multiLevelType w:val="singleLevel"/>
    <w:tmpl w:val="C61A574A"/>
    <w:lvl w:ilvl="0">
      <w:start w:val="1"/>
      <w:numFmt w:val="bullet"/>
      <w:pStyle w:val="Listepuce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193C76E6"/>
    <w:lvl w:ilvl="0">
      <w:start w:val="1"/>
      <w:numFmt w:val="bullet"/>
      <w:pStyle w:val="Listepuces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61BE3B8C"/>
    <w:lvl w:ilvl="0">
      <w:start w:val="1"/>
      <w:numFmt w:val="bullet"/>
      <w:pStyle w:val="Listepuce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BEAAE5C"/>
    <w:lvl w:ilvl="0">
      <w:start w:val="1"/>
      <w:numFmt w:val="bullet"/>
      <w:pStyle w:val="Listepuces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89C00CAC"/>
    <w:lvl w:ilvl="0">
      <w:start w:val="1"/>
      <w:numFmt w:val="decimal"/>
      <w:pStyle w:val="Listenumros"/>
      <w:lvlText w:val="%1."/>
      <w:lvlJc w:val="left"/>
      <w:pPr>
        <w:tabs>
          <w:tab w:val="num" w:pos="360"/>
        </w:tabs>
        <w:ind w:left="360" w:hanging="360"/>
      </w:pPr>
    </w:lvl>
  </w:abstractNum>
  <w:abstractNum w:abstractNumId="7" w15:restartNumberingAfterBreak="0">
    <w:nsid w:val="FFFFFF89"/>
    <w:multiLevelType w:val="singleLevel"/>
    <w:tmpl w:val="E0641914"/>
    <w:lvl w:ilvl="0">
      <w:start w:val="1"/>
      <w:numFmt w:val="bullet"/>
      <w:pStyle w:val="Listepuces"/>
      <w:lvlText w:val=""/>
      <w:lvlJc w:val="left"/>
      <w:pPr>
        <w:tabs>
          <w:tab w:val="num" w:pos="360"/>
        </w:tabs>
        <w:ind w:left="360" w:hanging="360"/>
      </w:pPr>
      <w:rPr>
        <w:rFonts w:ascii="Symbol" w:hAnsi="Symbol" w:hint="default"/>
      </w:rPr>
    </w:lvl>
  </w:abstractNum>
  <w:abstractNum w:abstractNumId="8" w15:restartNumberingAfterBreak="0">
    <w:nsid w:val="0044659D"/>
    <w:multiLevelType w:val="hybridMultilevel"/>
    <w:tmpl w:val="030EAD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24B1B61"/>
    <w:multiLevelType w:val="hybridMultilevel"/>
    <w:tmpl w:val="77B27AE8"/>
    <w:lvl w:ilvl="0" w:tplc="A636CFC2">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5D60452"/>
    <w:multiLevelType w:val="hybridMultilevel"/>
    <w:tmpl w:val="36B4ED00"/>
    <w:lvl w:ilvl="0" w:tplc="E1589B9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05F252BD"/>
    <w:multiLevelType w:val="singleLevel"/>
    <w:tmpl w:val="074C56F8"/>
    <w:lvl w:ilvl="0">
      <w:start w:val="1"/>
      <w:numFmt w:val="decimal"/>
      <w:pStyle w:val="Bibliographie1"/>
      <w:lvlText w:val="[%1]"/>
      <w:lvlJc w:val="left"/>
      <w:pPr>
        <w:tabs>
          <w:tab w:val="num" w:pos="360"/>
        </w:tabs>
        <w:ind w:left="360" w:hanging="360"/>
      </w:pPr>
    </w:lvl>
  </w:abstractNum>
  <w:abstractNum w:abstractNumId="12" w15:restartNumberingAfterBreak="0">
    <w:nsid w:val="070A3521"/>
    <w:multiLevelType w:val="hybridMultilevel"/>
    <w:tmpl w:val="C08065E2"/>
    <w:lvl w:ilvl="0" w:tplc="589487B6">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153663"/>
    <w:multiLevelType w:val="hybridMultilevel"/>
    <w:tmpl w:val="6BE23D88"/>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8A434F9"/>
    <w:multiLevelType w:val="hybridMultilevel"/>
    <w:tmpl w:val="C55E31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8A55008"/>
    <w:multiLevelType w:val="multilevel"/>
    <w:tmpl w:val="29F85C58"/>
    <w:lvl w:ilvl="0">
      <w:start w:val="1"/>
      <w:numFmt w:val="upperLetter"/>
      <w:pStyle w:val="ANNEX"/>
      <w:suff w:val="nothing"/>
      <w:lvlText w:val="Annexe %1"/>
      <w:lvlJc w:val="left"/>
      <w:pPr>
        <w:ind w:left="0" w:firstLine="0"/>
      </w:pPr>
      <w:rPr>
        <w:rFonts w:ascii="Arial" w:hAnsi="Arial" w:hint="default"/>
        <w:b/>
        <w:i w:val="0"/>
        <w:sz w:val="28"/>
      </w:rPr>
    </w:lvl>
    <w:lvl w:ilvl="1">
      <w:start w:val="1"/>
      <w:numFmt w:val="decimal"/>
      <w:pStyle w:val="a2"/>
      <w:lvlText w:val="%1.%2"/>
      <w:lvlJc w:val="left"/>
      <w:pPr>
        <w:tabs>
          <w:tab w:val="num" w:pos="360"/>
        </w:tabs>
        <w:ind w:left="0" w:firstLine="0"/>
      </w:pPr>
      <w:rPr>
        <w:rFonts w:hint="default"/>
        <w:b/>
        <w:i w:val="0"/>
      </w:rPr>
    </w:lvl>
    <w:lvl w:ilvl="2">
      <w:start w:val="1"/>
      <w:numFmt w:val="decimal"/>
      <w:pStyle w:val="a3"/>
      <w:lvlText w:val="%1.%2.%3"/>
      <w:lvlJc w:val="left"/>
      <w:pPr>
        <w:tabs>
          <w:tab w:val="num" w:pos="720"/>
        </w:tabs>
        <w:ind w:left="0" w:firstLine="0"/>
      </w:pPr>
      <w:rPr>
        <w:rFonts w:hint="default"/>
        <w:b/>
        <w:i w:val="0"/>
      </w:rPr>
    </w:lvl>
    <w:lvl w:ilvl="3">
      <w:start w:val="1"/>
      <w:numFmt w:val="decimal"/>
      <w:pStyle w:val="a4"/>
      <w:lvlText w:val="%1.%2.%3.%4"/>
      <w:lvlJc w:val="left"/>
      <w:pPr>
        <w:tabs>
          <w:tab w:val="num" w:pos="1080"/>
        </w:tabs>
        <w:ind w:left="0" w:firstLine="0"/>
      </w:pPr>
      <w:rPr>
        <w:rFonts w:hint="default"/>
        <w:b/>
        <w:i w:val="0"/>
      </w:rPr>
    </w:lvl>
    <w:lvl w:ilvl="4">
      <w:start w:val="1"/>
      <w:numFmt w:val="decimal"/>
      <w:pStyle w:val="a5"/>
      <w:lvlText w:val="%1.%2.%3.%4.%5"/>
      <w:lvlJc w:val="left"/>
      <w:pPr>
        <w:tabs>
          <w:tab w:val="num" w:pos="1080"/>
        </w:tabs>
        <w:ind w:left="0" w:firstLine="0"/>
      </w:pPr>
      <w:rPr>
        <w:rFonts w:hint="default"/>
        <w:b/>
        <w:i w:val="0"/>
      </w:rPr>
    </w:lvl>
    <w:lvl w:ilvl="5">
      <w:start w:val="1"/>
      <w:numFmt w:val="decimal"/>
      <w:pStyle w:val="a6"/>
      <w:lvlText w:val="%1.%2.%3.%4.%5.%6"/>
      <w:lvlJc w:val="left"/>
      <w:pPr>
        <w:tabs>
          <w:tab w:val="num" w:pos="1440"/>
        </w:tabs>
        <w:ind w:left="0" w:firstLine="0"/>
      </w:pPr>
      <w:rPr>
        <w:rFonts w:hint="default"/>
        <w:b/>
        <w:i w:val="0"/>
      </w:rPr>
    </w:lvl>
    <w:lvl w:ilvl="6">
      <w:start w:val="1"/>
      <w:numFmt w:val="lowerRoman"/>
      <w:lvlText w:val="(%7)"/>
      <w:lvlJc w:val="left"/>
      <w:pPr>
        <w:tabs>
          <w:tab w:val="num" w:pos="504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08A853E3"/>
    <w:multiLevelType w:val="hybridMultilevel"/>
    <w:tmpl w:val="69E635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B2A0323"/>
    <w:multiLevelType w:val="hybridMultilevel"/>
    <w:tmpl w:val="EB023D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C357CC8"/>
    <w:multiLevelType w:val="hybridMultilevel"/>
    <w:tmpl w:val="B10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EB33E8"/>
    <w:multiLevelType w:val="hybridMultilevel"/>
    <w:tmpl w:val="0E30848C"/>
    <w:lvl w:ilvl="0" w:tplc="5D0C2864">
      <w:start w:val="1"/>
      <w:numFmt w:val="bullet"/>
      <w:lvlText w:val="-"/>
      <w:lvlJc w:val="left"/>
      <w:pPr>
        <w:tabs>
          <w:tab w:val="num" w:pos="1080"/>
        </w:tabs>
        <w:ind w:left="1080" w:hanging="360"/>
      </w:pPr>
      <w:rPr>
        <w:rFonts w:ascii="Calibri" w:eastAsia="Times New Roman" w:hAnsi="Calibri" w:cs="Times New Roman" w:hint="default"/>
        <w:color w:val="auto"/>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hint="default"/>
      </w:rPr>
    </w:lvl>
    <w:lvl w:ilvl="6" w:tplc="040C0001">
      <w:start w:val="1"/>
      <w:numFmt w:val="bullet"/>
      <w:lvlText w:val=""/>
      <w:lvlJc w:val="left"/>
      <w:pPr>
        <w:tabs>
          <w:tab w:val="num" w:pos="5400"/>
        </w:tabs>
        <w:ind w:left="5400" w:hanging="360"/>
      </w:pPr>
      <w:rPr>
        <w:rFonts w:ascii="Symbol" w:hAnsi="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0FAF64C4"/>
    <w:multiLevelType w:val="hybridMultilevel"/>
    <w:tmpl w:val="25D81F6A"/>
    <w:lvl w:ilvl="0" w:tplc="489039A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10432013"/>
    <w:multiLevelType w:val="hybridMultilevel"/>
    <w:tmpl w:val="4BC2BCEC"/>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10A00C86"/>
    <w:multiLevelType w:val="hybridMultilevel"/>
    <w:tmpl w:val="0B1462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1826CBA"/>
    <w:multiLevelType w:val="hybridMultilevel"/>
    <w:tmpl w:val="F16C5A22"/>
    <w:lvl w:ilvl="0" w:tplc="D7EACC7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0E4465"/>
    <w:multiLevelType w:val="hybridMultilevel"/>
    <w:tmpl w:val="385EBA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12C37CC2"/>
    <w:multiLevelType w:val="hybridMultilevel"/>
    <w:tmpl w:val="E768416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13D869DB"/>
    <w:multiLevelType w:val="hybridMultilevel"/>
    <w:tmpl w:val="2B129C48"/>
    <w:lvl w:ilvl="0" w:tplc="FD7ABEB8">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41E02D9"/>
    <w:multiLevelType w:val="hybridMultilevel"/>
    <w:tmpl w:val="B87E335C"/>
    <w:lvl w:ilvl="0" w:tplc="80DABC5E">
      <w:numFmt w:val="bullet"/>
      <w:lvlText w:val="-"/>
      <w:lvlJc w:val="left"/>
      <w:pPr>
        <w:tabs>
          <w:tab w:val="num" w:pos="1080"/>
        </w:tabs>
        <w:ind w:left="1080" w:hanging="360"/>
      </w:pPr>
      <w:rPr>
        <w:rFonts w:ascii="Tahoma" w:eastAsia="Batang" w:hAnsi="Tahoma" w:cs="Tahoma" w:hint="default"/>
      </w:rPr>
    </w:lvl>
    <w:lvl w:ilvl="1" w:tplc="04090003" w:tentative="1">
      <w:start w:val="1"/>
      <w:numFmt w:val="bullet"/>
      <w:lvlText w:val="o"/>
      <w:lvlJc w:val="left"/>
      <w:pPr>
        <w:tabs>
          <w:tab w:val="num" w:pos="631"/>
        </w:tabs>
        <w:ind w:left="631" w:hanging="360"/>
      </w:pPr>
      <w:rPr>
        <w:rFonts w:ascii="Courier New" w:hAnsi="Courier New" w:cs="Courier New" w:hint="default"/>
      </w:rPr>
    </w:lvl>
    <w:lvl w:ilvl="2" w:tplc="04090005" w:tentative="1">
      <w:start w:val="1"/>
      <w:numFmt w:val="bullet"/>
      <w:lvlText w:val=""/>
      <w:lvlJc w:val="left"/>
      <w:pPr>
        <w:tabs>
          <w:tab w:val="num" w:pos="1351"/>
        </w:tabs>
        <w:ind w:left="1351" w:hanging="360"/>
      </w:pPr>
      <w:rPr>
        <w:rFonts w:ascii="Wingdings" w:hAnsi="Wingdings" w:hint="default"/>
      </w:rPr>
    </w:lvl>
    <w:lvl w:ilvl="3" w:tplc="04090001" w:tentative="1">
      <w:start w:val="1"/>
      <w:numFmt w:val="bullet"/>
      <w:lvlText w:val=""/>
      <w:lvlJc w:val="left"/>
      <w:pPr>
        <w:tabs>
          <w:tab w:val="num" w:pos="2071"/>
        </w:tabs>
        <w:ind w:left="2071" w:hanging="360"/>
      </w:pPr>
      <w:rPr>
        <w:rFonts w:ascii="Symbol" w:hAnsi="Symbol" w:hint="default"/>
      </w:rPr>
    </w:lvl>
    <w:lvl w:ilvl="4" w:tplc="04090003" w:tentative="1">
      <w:start w:val="1"/>
      <w:numFmt w:val="bullet"/>
      <w:lvlText w:val="o"/>
      <w:lvlJc w:val="left"/>
      <w:pPr>
        <w:tabs>
          <w:tab w:val="num" w:pos="2791"/>
        </w:tabs>
        <w:ind w:left="2791" w:hanging="360"/>
      </w:pPr>
      <w:rPr>
        <w:rFonts w:ascii="Courier New" w:hAnsi="Courier New" w:cs="Courier New" w:hint="default"/>
      </w:rPr>
    </w:lvl>
    <w:lvl w:ilvl="5" w:tplc="04090005" w:tentative="1">
      <w:start w:val="1"/>
      <w:numFmt w:val="bullet"/>
      <w:lvlText w:val=""/>
      <w:lvlJc w:val="left"/>
      <w:pPr>
        <w:tabs>
          <w:tab w:val="num" w:pos="3511"/>
        </w:tabs>
        <w:ind w:left="3511" w:hanging="360"/>
      </w:pPr>
      <w:rPr>
        <w:rFonts w:ascii="Wingdings" w:hAnsi="Wingdings" w:hint="default"/>
      </w:rPr>
    </w:lvl>
    <w:lvl w:ilvl="6" w:tplc="04090001" w:tentative="1">
      <w:start w:val="1"/>
      <w:numFmt w:val="bullet"/>
      <w:lvlText w:val=""/>
      <w:lvlJc w:val="left"/>
      <w:pPr>
        <w:tabs>
          <w:tab w:val="num" w:pos="4231"/>
        </w:tabs>
        <w:ind w:left="4231" w:hanging="360"/>
      </w:pPr>
      <w:rPr>
        <w:rFonts w:ascii="Symbol" w:hAnsi="Symbol" w:hint="default"/>
      </w:rPr>
    </w:lvl>
    <w:lvl w:ilvl="7" w:tplc="04090003" w:tentative="1">
      <w:start w:val="1"/>
      <w:numFmt w:val="bullet"/>
      <w:lvlText w:val="o"/>
      <w:lvlJc w:val="left"/>
      <w:pPr>
        <w:tabs>
          <w:tab w:val="num" w:pos="4951"/>
        </w:tabs>
        <w:ind w:left="4951" w:hanging="360"/>
      </w:pPr>
      <w:rPr>
        <w:rFonts w:ascii="Courier New" w:hAnsi="Courier New" w:cs="Courier New" w:hint="default"/>
      </w:rPr>
    </w:lvl>
    <w:lvl w:ilvl="8" w:tplc="04090005" w:tentative="1">
      <w:start w:val="1"/>
      <w:numFmt w:val="bullet"/>
      <w:lvlText w:val=""/>
      <w:lvlJc w:val="left"/>
      <w:pPr>
        <w:tabs>
          <w:tab w:val="num" w:pos="5671"/>
        </w:tabs>
        <w:ind w:left="5671" w:hanging="360"/>
      </w:pPr>
      <w:rPr>
        <w:rFonts w:ascii="Wingdings" w:hAnsi="Wingdings" w:hint="default"/>
      </w:rPr>
    </w:lvl>
  </w:abstractNum>
  <w:abstractNum w:abstractNumId="28" w15:restartNumberingAfterBreak="0">
    <w:nsid w:val="16172166"/>
    <w:multiLevelType w:val="hybridMultilevel"/>
    <w:tmpl w:val="1A6E72AA"/>
    <w:lvl w:ilvl="0" w:tplc="4198C2CE">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9" w15:restartNumberingAfterBreak="0">
    <w:nsid w:val="164103AA"/>
    <w:multiLevelType w:val="hybridMultilevel"/>
    <w:tmpl w:val="F5008E7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992998"/>
    <w:multiLevelType w:val="hybridMultilevel"/>
    <w:tmpl w:val="F32693E6"/>
    <w:lvl w:ilvl="0" w:tplc="99C81B3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79733C3"/>
    <w:multiLevelType w:val="hybridMultilevel"/>
    <w:tmpl w:val="EA8A6C60"/>
    <w:lvl w:ilvl="0" w:tplc="80DABC5E">
      <w:numFmt w:val="bullet"/>
      <w:lvlText w:val="-"/>
      <w:lvlJc w:val="left"/>
      <w:pPr>
        <w:tabs>
          <w:tab w:val="num" w:pos="1080"/>
        </w:tabs>
        <w:ind w:left="1080" w:hanging="360"/>
      </w:pPr>
      <w:rPr>
        <w:rFonts w:ascii="Tahoma" w:eastAsia="Batang"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17AF4BB4"/>
    <w:multiLevelType w:val="hybridMultilevel"/>
    <w:tmpl w:val="446C6BB8"/>
    <w:lvl w:ilvl="0" w:tplc="394A245C">
      <w:start w:val="1"/>
      <w:numFmt w:val="lowerLetter"/>
      <w:lvlText w:val="%1."/>
      <w:lvlJc w:val="left"/>
      <w:pPr>
        <w:ind w:left="1428"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17F36B39"/>
    <w:multiLevelType w:val="hybridMultilevel"/>
    <w:tmpl w:val="910018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180A74B6"/>
    <w:multiLevelType w:val="hybridMultilevel"/>
    <w:tmpl w:val="B754BF94"/>
    <w:lvl w:ilvl="0" w:tplc="27F4FF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9E06C65"/>
    <w:multiLevelType w:val="hybridMultilevel"/>
    <w:tmpl w:val="80AE38C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1A253299"/>
    <w:multiLevelType w:val="hybridMultilevel"/>
    <w:tmpl w:val="9AECBBD8"/>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1A70717A"/>
    <w:multiLevelType w:val="hybridMultilevel"/>
    <w:tmpl w:val="71705D7E"/>
    <w:lvl w:ilvl="0" w:tplc="40183616">
      <w:start w:val="1"/>
      <w:numFmt w:val="bullet"/>
      <w:lvlText w:val="-"/>
      <w:lvlJc w:val="left"/>
      <w:pPr>
        <w:ind w:left="228" w:hanging="130"/>
      </w:pPr>
      <w:rPr>
        <w:rFonts w:ascii="Calibri" w:eastAsia="Calibri" w:hAnsi="Calibri" w:hint="default"/>
        <w:w w:val="100"/>
        <w:sz w:val="24"/>
        <w:szCs w:val="24"/>
      </w:rPr>
    </w:lvl>
    <w:lvl w:ilvl="1" w:tplc="409852BE">
      <w:start w:val="1"/>
      <w:numFmt w:val="bullet"/>
      <w:lvlText w:val="•"/>
      <w:lvlJc w:val="left"/>
      <w:pPr>
        <w:ind w:left="948" w:hanging="130"/>
      </w:pPr>
      <w:rPr>
        <w:rFonts w:hint="default"/>
      </w:rPr>
    </w:lvl>
    <w:lvl w:ilvl="2" w:tplc="BB820ED2">
      <w:start w:val="1"/>
      <w:numFmt w:val="bullet"/>
      <w:lvlText w:val="•"/>
      <w:lvlJc w:val="left"/>
      <w:pPr>
        <w:ind w:left="1677" w:hanging="130"/>
      </w:pPr>
      <w:rPr>
        <w:rFonts w:hint="default"/>
      </w:rPr>
    </w:lvl>
    <w:lvl w:ilvl="3" w:tplc="0ECE72D2">
      <w:start w:val="1"/>
      <w:numFmt w:val="bullet"/>
      <w:lvlText w:val="•"/>
      <w:lvlJc w:val="left"/>
      <w:pPr>
        <w:ind w:left="2405" w:hanging="130"/>
      </w:pPr>
      <w:rPr>
        <w:rFonts w:hint="default"/>
      </w:rPr>
    </w:lvl>
    <w:lvl w:ilvl="4" w:tplc="79762A3C">
      <w:start w:val="1"/>
      <w:numFmt w:val="bullet"/>
      <w:lvlText w:val="•"/>
      <w:lvlJc w:val="left"/>
      <w:pPr>
        <w:ind w:left="3134" w:hanging="130"/>
      </w:pPr>
      <w:rPr>
        <w:rFonts w:hint="default"/>
      </w:rPr>
    </w:lvl>
    <w:lvl w:ilvl="5" w:tplc="97AE8270">
      <w:start w:val="1"/>
      <w:numFmt w:val="bullet"/>
      <w:lvlText w:val="•"/>
      <w:lvlJc w:val="left"/>
      <w:pPr>
        <w:ind w:left="3862" w:hanging="130"/>
      </w:pPr>
      <w:rPr>
        <w:rFonts w:hint="default"/>
      </w:rPr>
    </w:lvl>
    <w:lvl w:ilvl="6" w:tplc="924A94F6">
      <w:start w:val="1"/>
      <w:numFmt w:val="bullet"/>
      <w:lvlText w:val="•"/>
      <w:lvlJc w:val="left"/>
      <w:pPr>
        <w:ind w:left="4591" w:hanging="130"/>
      </w:pPr>
      <w:rPr>
        <w:rFonts w:hint="default"/>
      </w:rPr>
    </w:lvl>
    <w:lvl w:ilvl="7" w:tplc="1802681A">
      <w:start w:val="1"/>
      <w:numFmt w:val="bullet"/>
      <w:lvlText w:val="•"/>
      <w:lvlJc w:val="left"/>
      <w:pPr>
        <w:ind w:left="5320" w:hanging="130"/>
      </w:pPr>
      <w:rPr>
        <w:rFonts w:hint="default"/>
      </w:rPr>
    </w:lvl>
    <w:lvl w:ilvl="8" w:tplc="0B9A4E56">
      <w:start w:val="1"/>
      <w:numFmt w:val="bullet"/>
      <w:lvlText w:val="•"/>
      <w:lvlJc w:val="left"/>
      <w:pPr>
        <w:ind w:left="6048" w:hanging="130"/>
      </w:pPr>
      <w:rPr>
        <w:rFonts w:hint="default"/>
      </w:rPr>
    </w:lvl>
  </w:abstractNum>
  <w:abstractNum w:abstractNumId="38" w15:restartNumberingAfterBreak="0">
    <w:nsid w:val="1A974866"/>
    <w:multiLevelType w:val="hybridMultilevel"/>
    <w:tmpl w:val="9544E538"/>
    <w:lvl w:ilvl="0" w:tplc="D7EACC7A">
      <w:start w:val="2"/>
      <w:numFmt w:val="bullet"/>
      <w:lvlText w:val="-"/>
      <w:lvlJc w:val="left"/>
      <w:pPr>
        <w:tabs>
          <w:tab w:val="num" w:pos="720"/>
        </w:tabs>
        <w:ind w:left="720" w:hanging="360"/>
      </w:pPr>
      <w:rPr>
        <w:rFonts w:ascii="Times New Roman" w:eastAsia="Times New Roman" w:hAnsi="Times New Roman" w:cs="Times New Roman" w:hint="default"/>
      </w:rPr>
    </w:lvl>
    <w:lvl w:ilvl="1" w:tplc="5464E118">
      <w:start w:val="7"/>
      <w:numFmt w:val="bullet"/>
      <w:lvlText w:val=""/>
      <w:lvlJc w:val="left"/>
      <w:pPr>
        <w:tabs>
          <w:tab w:val="num" w:pos="1440"/>
        </w:tabs>
        <w:ind w:left="1440" w:hanging="360"/>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B65203A"/>
    <w:multiLevelType w:val="hybridMultilevel"/>
    <w:tmpl w:val="131A212A"/>
    <w:lvl w:ilvl="0" w:tplc="B9D6DAC0">
      <w:start w:val="1"/>
      <w:numFmt w:val="bullet"/>
      <w:lvlText w:val="-"/>
      <w:lvlJc w:val="left"/>
      <w:pPr>
        <w:ind w:left="98" w:hanging="130"/>
      </w:pPr>
      <w:rPr>
        <w:rFonts w:ascii="Calibri" w:eastAsia="Calibri" w:hAnsi="Calibri" w:hint="default"/>
        <w:w w:val="100"/>
        <w:sz w:val="24"/>
        <w:szCs w:val="24"/>
      </w:rPr>
    </w:lvl>
    <w:lvl w:ilvl="1" w:tplc="B3F2CE50">
      <w:start w:val="1"/>
      <w:numFmt w:val="bullet"/>
      <w:lvlText w:val="•"/>
      <w:lvlJc w:val="left"/>
      <w:pPr>
        <w:ind w:left="840" w:hanging="130"/>
      </w:pPr>
      <w:rPr>
        <w:rFonts w:hint="default"/>
      </w:rPr>
    </w:lvl>
    <w:lvl w:ilvl="2" w:tplc="4D7E3D38">
      <w:start w:val="1"/>
      <w:numFmt w:val="bullet"/>
      <w:lvlText w:val="•"/>
      <w:lvlJc w:val="left"/>
      <w:pPr>
        <w:ind w:left="1581" w:hanging="130"/>
      </w:pPr>
      <w:rPr>
        <w:rFonts w:hint="default"/>
      </w:rPr>
    </w:lvl>
    <w:lvl w:ilvl="3" w:tplc="1E5E842E">
      <w:start w:val="1"/>
      <w:numFmt w:val="bullet"/>
      <w:lvlText w:val="•"/>
      <w:lvlJc w:val="left"/>
      <w:pPr>
        <w:ind w:left="2321" w:hanging="130"/>
      </w:pPr>
      <w:rPr>
        <w:rFonts w:hint="default"/>
      </w:rPr>
    </w:lvl>
    <w:lvl w:ilvl="4" w:tplc="82BE5B96">
      <w:start w:val="1"/>
      <w:numFmt w:val="bullet"/>
      <w:lvlText w:val="•"/>
      <w:lvlJc w:val="left"/>
      <w:pPr>
        <w:ind w:left="3062" w:hanging="130"/>
      </w:pPr>
      <w:rPr>
        <w:rFonts w:hint="default"/>
      </w:rPr>
    </w:lvl>
    <w:lvl w:ilvl="5" w:tplc="EF08C15A">
      <w:start w:val="1"/>
      <w:numFmt w:val="bullet"/>
      <w:lvlText w:val="•"/>
      <w:lvlJc w:val="left"/>
      <w:pPr>
        <w:ind w:left="3802" w:hanging="130"/>
      </w:pPr>
      <w:rPr>
        <w:rFonts w:hint="default"/>
      </w:rPr>
    </w:lvl>
    <w:lvl w:ilvl="6" w:tplc="55A29C6C">
      <w:start w:val="1"/>
      <w:numFmt w:val="bullet"/>
      <w:lvlText w:val="•"/>
      <w:lvlJc w:val="left"/>
      <w:pPr>
        <w:ind w:left="4543" w:hanging="130"/>
      </w:pPr>
      <w:rPr>
        <w:rFonts w:hint="default"/>
      </w:rPr>
    </w:lvl>
    <w:lvl w:ilvl="7" w:tplc="6BFE7CD2">
      <w:start w:val="1"/>
      <w:numFmt w:val="bullet"/>
      <w:lvlText w:val="•"/>
      <w:lvlJc w:val="left"/>
      <w:pPr>
        <w:ind w:left="5284" w:hanging="130"/>
      </w:pPr>
      <w:rPr>
        <w:rFonts w:hint="default"/>
      </w:rPr>
    </w:lvl>
    <w:lvl w:ilvl="8" w:tplc="02F83068">
      <w:start w:val="1"/>
      <w:numFmt w:val="bullet"/>
      <w:lvlText w:val="•"/>
      <w:lvlJc w:val="left"/>
      <w:pPr>
        <w:ind w:left="6024" w:hanging="130"/>
      </w:pPr>
      <w:rPr>
        <w:rFonts w:hint="default"/>
      </w:rPr>
    </w:lvl>
  </w:abstractNum>
  <w:abstractNum w:abstractNumId="40" w15:restartNumberingAfterBreak="0">
    <w:nsid w:val="1BDF6695"/>
    <w:multiLevelType w:val="hybridMultilevel"/>
    <w:tmpl w:val="7E12029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1" w15:restartNumberingAfterBreak="0">
    <w:nsid w:val="1BEF6681"/>
    <w:multiLevelType w:val="multilevel"/>
    <w:tmpl w:val="A3EC00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1C743D91"/>
    <w:multiLevelType w:val="hybridMultilevel"/>
    <w:tmpl w:val="2DC2D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C965305"/>
    <w:multiLevelType w:val="hybridMultilevel"/>
    <w:tmpl w:val="4642E8F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1ED45E97"/>
    <w:multiLevelType w:val="hybridMultilevel"/>
    <w:tmpl w:val="3C0E66B2"/>
    <w:lvl w:ilvl="0" w:tplc="99C81B3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248561E"/>
    <w:multiLevelType w:val="hybridMultilevel"/>
    <w:tmpl w:val="0E2E763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22623398"/>
    <w:multiLevelType w:val="hybridMultilevel"/>
    <w:tmpl w:val="0804BF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235B0A94"/>
    <w:multiLevelType w:val="hybridMultilevel"/>
    <w:tmpl w:val="0D0E3BA6"/>
    <w:lvl w:ilvl="0" w:tplc="99C81B3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39E27B5"/>
    <w:multiLevelType w:val="hybridMultilevel"/>
    <w:tmpl w:val="111A4DA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3BB0157"/>
    <w:multiLevelType w:val="hybridMultilevel"/>
    <w:tmpl w:val="39A020F6"/>
    <w:lvl w:ilvl="0" w:tplc="A0FEABF4">
      <w:start w:val="3"/>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5526E6C"/>
    <w:multiLevelType w:val="hybridMultilevel"/>
    <w:tmpl w:val="F16099F2"/>
    <w:lvl w:ilvl="0" w:tplc="99C81B3E">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6123A35"/>
    <w:multiLevelType w:val="hybridMultilevel"/>
    <w:tmpl w:val="7394831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15:restartNumberingAfterBreak="0">
    <w:nsid w:val="26B064F7"/>
    <w:multiLevelType w:val="hybridMultilevel"/>
    <w:tmpl w:val="520040EC"/>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26B23464"/>
    <w:multiLevelType w:val="hybridMultilevel"/>
    <w:tmpl w:val="34A042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29C36820"/>
    <w:multiLevelType w:val="multilevel"/>
    <w:tmpl w:val="798454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2A2172EC"/>
    <w:multiLevelType w:val="multilevel"/>
    <w:tmpl w:val="1CB24164"/>
    <w:lvl w:ilvl="0">
      <w:start w:val="1"/>
      <w:numFmt w:val="decimal"/>
      <w:lvlText w:val="%1"/>
      <w:lvlJc w:val="left"/>
      <w:pPr>
        <w:ind w:left="840" w:hanging="840"/>
      </w:pPr>
    </w:lvl>
    <w:lvl w:ilvl="1">
      <w:start w:val="2"/>
      <w:numFmt w:val="decimal"/>
      <w:lvlText w:val="%1.%2"/>
      <w:lvlJc w:val="left"/>
      <w:pPr>
        <w:ind w:left="1192" w:hanging="840"/>
      </w:pPr>
    </w:lvl>
    <w:lvl w:ilvl="2">
      <w:start w:val="1"/>
      <w:numFmt w:val="decimal"/>
      <w:lvlText w:val="%1.%2.%3"/>
      <w:lvlJc w:val="left"/>
      <w:pPr>
        <w:ind w:left="1544" w:hanging="840"/>
      </w:pPr>
    </w:lvl>
    <w:lvl w:ilvl="3">
      <w:start w:val="1"/>
      <w:numFmt w:val="decimal"/>
      <w:lvlText w:val="%1.%2.%3.%4"/>
      <w:lvlJc w:val="left"/>
      <w:pPr>
        <w:ind w:left="1896" w:hanging="840"/>
      </w:pPr>
    </w:lvl>
    <w:lvl w:ilvl="4">
      <w:start w:val="2"/>
      <w:numFmt w:val="decimal"/>
      <w:lvlText w:val="%1.%2.%3.%4.%5"/>
      <w:lvlJc w:val="left"/>
      <w:pPr>
        <w:ind w:left="2488" w:hanging="1080"/>
      </w:pPr>
    </w:lvl>
    <w:lvl w:ilvl="5">
      <w:start w:val="1"/>
      <w:numFmt w:val="decimal"/>
      <w:lvlText w:val="%1.%2.%3.%4.%5.%6"/>
      <w:lvlJc w:val="left"/>
      <w:pPr>
        <w:ind w:left="2840" w:hanging="1080"/>
      </w:pPr>
    </w:lvl>
    <w:lvl w:ilvl="6">
      <w:start w:val="1"/>
      <w:numFmt w:val="decimal"/>
      <w:lvlText w:val="%1.%2.%3.%4.%5.%6.%7"/>
      <w:lvlJc w:val="left"/>
      <w:pPr>
        <w:ind w:left="3552" w:hanging="1440"/>
      </w:pPr>
    </w:lvl>
    <w:lvl w:ilvl="7">
      <w:start w:val="1"/>
      <w:numFmt w:val="decimal"/>
      <w:lvlText w:val="%1.%2.%3.%4.%5.%6.%7.%8"/>
      <w:lvlJc w:val="left"/>
      <w:pPr>
        <w:ind w:left="3904" w:hanging="1440"/>
      </w:pPr>
    </w:lvl>
    <w:lvl w:ilvl="8">
      <w:start w:val="1"/>
      <w:numFmt w:val="decimal"/>
      <w:lvlText w:val="%1.%2.%3.%4.%5.%6.%7.%8.%9"/>
      <w:lvlJc w:val="left"/>
      <w:pPr>
        <w:ind w:left="4616" w:hanging="1800"/>
      </w:pPr>
    </w:lvl>
  </w:abstractNum>
  <w:abstractNum w:abstractNumId="56" w15:restartNumberingAfterBreak="0">
    <w:nsid w:val="2A826AEF"/>
    <w:multiLevelType w:val="hybridMultilevel"/>
    <w:tmpl w:val="FD486A2A"/>
    <w:lvl w:ilvl="0" w:tplc="233888F6">
      <w:numFmt w:val="bullet"/>
      <w:lvlText w:val="-"/>
      <w:lvlJc w:val="left"/>
      <w:pPr>
        <w:tabs>
          <w:tab w:val="num" w:pos="1080"/>
        </w:tabs>
        <w:ind w:left="1080" w:hanging="360"/>
      </w:pPr>
      <w:rPr>
        <w:rFonts w:ascii="Times New Roman" w:eastAsia="Times New Roman" w:hAnsi="Times New Roman" w:cs="Times New Roman" w:hint="default"/>
        <w:color w:val="auto"/>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hint="default"/>
      </w:rPr>
    </w:lvl>
    <w:lvl w:ilvl="6" w:tplc="040C0001">
      <w:start w:val="1"/>
      <w:numFmt w:val="bullet"/>
      <w:lvlText w:val=""/>
      <w:lvlJc w:val="left"/>
      <w:pPr>
        <w:tabs>
          <w:tab w:val="num" w:pos="5400"/>
        </w:tabs>
        <w:ind w:left="5400" w:hanging="360"/>
      </w:pPr>
      <w:rPr>
        <w:rFonts w:ascii="Symbol" w:hAnsi="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2C05778C"/>
    <w:multiLevelType w:val="hybridMultilevel"/>
    <w:tmpl w:val="020611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2C951085"/>
    <w:multiLevelType w:val="hybridMultilevel"/>
    <w:tmpl w:val="DF020320"/>
    <w:lvl w:ilvl="0" w:tplc="E850F000">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9" w15:restartNumberingAfterBreak="0">
    <w:nsid w:val="2D530F34"/>
    <w:multiLevelType w:val="hybridMultilevel"/>
    <w:tmpl w:val="DA241F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2DB47B60"/>
    <w:multiLevelType w:val="hybridMultilevel"/>
    <w:tmpl w:val="D938F57C"/>
    <w:lvl w:ilvl="0" w:tplc="3B18618C">
      <w:start w:val="1"/>
      <w:numFmt w:val="bullet"/>
      <w:lvlText w:val="-"/>
      <w:lvlJc w:val="left"/>
      <w:pPr>
        <w:ind w:left="320" w:hanging="255"/>
      </w:pPr>
      <w:rPr>
        <w:rFonts w:ascii="Calibri" w:eastAsia="Calibri" w:hAnsi="Calibri" w:hint="default"/>
        <w:spacing w:val="-3"/>
        <w:w w:val="99"/>
        <w:sz w:val="24"/>
        <w:szCs w:val="24"/>
      </w:rPr>
    </w:lvl>
    <w:lvl w:ilvl="1" w:tplc="A3A8CE2A">
      <w:start w:val="1"/>
      <w:numFmt w:val="bullet"/>
      <w:lvlText w:val="•"/>
      <w:lvlJc w:val="left"/>
      <w:pPr>
        <w:ind w:left="736" w:hanging="255"/>
      </w:pPr>
      <w:rPr>
        <w:rFonts w:hint="default"/>
      </w:rPr>
    </w:lvl>
    <w:lvl w:ilvl="2" w:tplc="CE62F992">
      <w:start w:val="1"/>
      <w:numFmt w:val="bullet"/>
      <w:lvlText w:val="•"/>
      <w:lvlJc w:val="left"/>
      <w:pPr>
        <w:ind w:left="1153" w:hanging="255"/>
      </w:pPr>
      <w:rPr>
        <w:rFonts w:hint="default"/>
      </w:rPr>
    </w:lvl>
    <w:lvl w:ilvl="3" w:tplc="F07077A4">
      <w:start w:val="1"/>
      <w:numFmt w:val="bullet"/>
      <w:lvlText w:val="•"/>
      <w:lvlJc w:val="left"/>
      <w:pPr>
        <w:ind w:left="1570" w:hanging="255"/>
      </w:pPr>
      <w:rPr>
        <w:rFonts w:hint="default"/>
      </w:rPr>
    </w:lvl>
    <w:lvl w:ilvl="4" w:tplc="530418AA">
      <w:start w:val="1"/>
      <w:numFmt w:val="bullet"/>
      <w:lvlText w:val="•"/>
      <w:lvlJc w:val="left"/>
      <w:pPr>
        <w:ind w:left="1987" w:hanging="255"/>
      </w:pPr>
      <w:rPr>
        <w:rFonts w:hint="default"/>
      </w:rPr>
    </w:lvl>
    <w:lvl w:ilvl="5" w:tplc="7E24B10A">
      <w:start w:val="1"/>
      <w:numFmt w:val="bullet"/>
      <w:lvlText w:val="•"/>
      <w:lvlJc w:val="left"/>
      <w:pPr>
        <w:ind w:left="2403" w:hanging="255"/>
      </w:pPr>
      <w:rPr>
        <w:rFonts w:hint="default"/>
      </w:rPr>
    </w:lvl>
    <w:lvl w:ilvl="6" w:tplc="5192D7C6">
      <w:start w:val="1"/>
      <w:numFmt w:val="bullet"/>
      <w:lvlText w:val="•"/>
      <w:lvlJc w:val="left"/>
      <w:pPr>
        <w:ind w:left="2820" w:hanging="255"/>
      </w:pPr>
      <w:rPr>
        <w:rFonts w:hint="default"/>
      </w:rPr>
    </w:lvl>
    <w:lvl w:ilvl="7" w:tplc="5A109048">
      <w:start w:val="1"/>
      <w:numFmt w:val="bullet"/>
      <w:lvlText w:val="•"/>
      <w:lvlJc w:val="left"/>
      <w:pPr>
        <w:ind w:left="3237" w:hanging="255"/>
      </w:pPr>
      <w:rPr>
        <w:rFonts w:hint="default"/>
      </w:rPr>
    </w:lvl>
    <w:lvl w:ilvl="8" w:tplc="ADB0B672">
      <w:start w:val="1"/>
      <w:numFmt w:val="bullet"/>
      <w:lvlText w:val="•"/>
      <w:lvlJc w:val="left"/>
      <w:pPr>
        <w:ind w:left="3654" w:hanging="255"/>
      </w:pPr>
      <w:rPr>
        <w:rFonts w:hint="default"/>
      </w:rPr>
    </w:lvl>
  </w:abstractNum>
  <w:abstractNum w:abstractNumId="61" w15:restartNumberingAfterBreak="0">
    <w:nsid w:val="2E11713C"/>
    <w:multiLevelType w:val="hybridMultilevel"/>
    <w:tmpl w:val="D4BCBB52"/>
    <w:lvl w:ilvl="0" w:tplc="2D5EE6F6">
      <w:start w:val="30"/>
      <w:numFmt w:val="bullet"/>
      <w:lvlText w:val="-"/>
      <w:lvlJc w:val="left"/>
      <w:pPr>
        <w:ind w:left="720" w:hanging="360"/>
      </w:pPr>
      <w:rPr>
        <w:rFonts w:ascii="Calibri" w:eastAsia="Times New Roman" w:hAnsi="Calibri"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2" w15:restartNumberingAfterBreak="0">
    <w:nsid w:val="2FF34BCE"/>
    <w:multiLevelType w:val="hybridMultilevel"/>
    <w:tmpl w:val="DD742FD0"/>
    <w:lvl w:ilvl="0" w:tplc="519AF4C8">
      <w:numFmt w:val="bullet"/>
      <w:lvlText w:val="-"/>
      <w:lvlJc w:val="left"/>
      <w:pPr>
        <w:ind w:left="720" w:hanging="360"/>
      </w:pPr>
      <w:rPr>
        <w:rFonts w:ascii="Times New Roman" w:eastAsia="Times New Roman" w:hAnsi="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3" w15:restartNumberingAfterBreak="0">
    <w:nsid w:val="31083EF0"/>
    <w:multiLevelType w:val="hybridMultilevel"/>
    <w:tmpl w:val="BB16F41E"/>
    <w:lvl w:ilvl="0" w:tplc="A590095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31C05032"/>
    <w:multiLevelType w:val="hybridMultilevel"/>
    <w:tmpl w:val="A20C1A72"/>
    <w:lvl w:ilvl="0" w:tplc="519AF4C8">
      <w:numFmt w:val="bullet"/>
      <w:lvlText w:val="-"/>
      <w:lvlJc w:val="left"/>
      <w:pPr>
        <w:ind w:left="720" w:hanging="360"/>
      </w:pPr>
      <w:rPr>
        <w:rFonts w:ascii="Times New Roman" w:eastAsia="Times New Roman" w:hAnsi="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15:restartNumberingAfterBreak="0">
    <w:nsid w:val="35AA758E"/>
    <w:multiLevelType w:val="multilevel"/>
    <w:tmpl w:val="1C044F96"/>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6" w15:restartNumberingAfterBreak="0">
    <w:nsid w:val="36151462"/>
    <w:multiLevelType w:val="hybridMultilevel"/>
    <w:tmpl w:val="63007A04"/>
    <w:lvl w:ilvl="0" w:tplc="E850F000">
      <w:start w:val="1"/>
      <w:numFmt w:val="upperRoman"/>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405364"/>
    <w:multiLevelType w:val="hybridMultilevel"/>
    <w:tmpl w:val="D8EE9A76"/>
    <w:lvl w:ilvl="0" w:tplc="A636CFC2">
      <w:numFmt w:val="bullet"/>
      <w:lvlText w:val="-"/>
      <w:lvlJc w:val="left"/>
      <w:pPr>
        <w:ind w:left="1120" w:hanging="360"/>
      </w:pPr>
      <w:rPr>
        <w:rFonts w:ascii="Rockwell" w:eastAsiaTheme="minorHAnsi" w:hAnsi="Rockwell" w:cstheme="minorBidi" w:hint="default"/>
      </w:rPr>
    </w:lvl>
    <w:lvl w:ilvl="1" w:tplc="040C0003" w:tentative="1">
      <w:start w:val="1"/>
      <w:numFmt w:val="bullet"/>
      <w:lvlText w:val="o"/>
      <w:lvlJc w:val="left"/>
      <w:pPr>
        <w:ind w:left="1840" w:hanging="360"/>
      </w:pPr>
      <w:rPr>
        <w:rFonts w:ascii="Courier New" w:hAnsi="Courier New" w:cs="Courier New" w:hint="default"/>
      </w:rPr>
    </w:lvl>
    <w:lvl w:ilvl="2" w:tplc="040C0005" w:tentative="1">
      <w:start w:val="1"/>
      <w:numFmt w:val="bullet"/>
      <w:lvlText w:val=""/>
      <w:lvlJc w:val="left"/>
      <w:pPr>
        <w:ind w:left="2560" w:hanging="360"/>
      </w:pPr>
      <w:rPr>
        <w:rFonts w:ascii="Wingdings" w:hAnsi="Wingdings" w:hint="default"/>
      </w:rPr>
    </w:lvl>
    <w:lvl w:ilvl="3" w:tplc="040C0001" w:tentative="1">
      <w:start w:val="1"/>
      <w:numFmt w:val="bullet"/>
      <w:lvlText w:val=""/>
      <w:lvlJc w:val="left"/>
      <w:pPr>
        <w:ind w:left="3280" w:hanging="360"/>
      </w:pPr>
      <w:rPr>
        <w:rFonts w:ascii="Symbol" w:hAnsi="Symbol" w:hint="default"/>
      </w:rPr>
    </w:lvl>
    <w:lvl w:ilvl="4" w:tplc="040C0003" w:tentative="1">
      <w:start w:val="1"/>
      <w:numFmt w:val="bullet"/>
      <w:lvlText w:val="o"/>
      <w:lvlJc w:val="left"/>
      <w:pPr>
        <w:ind w:left="4000" w:hanging="360"/>
      </w:pPr>
      <w:rPr>
        <w:rFonts w:ascii="Courier New" w:hAnsi="Courier New" w:cs="Courier New" w:hint="default"/>
      </w:rPr>
    </w:lvl>
    <w:lvl w:ilvl="5" w:tplc="040C0005" w:tentative="1">
      <w:start w:val="1"/>
      <w:numFmt w:val="bullet"/>
      <w:lvlText w:val=""/>
      <w:lvlJc w:val="left"/>
      <w:pPr>
        <w:ind w:left="4720" w:hanging="360"/>
      </w:pPr>
      <w:rPr>
        <w:rFonts w:ascii="Wingdings" w:hAnsi="Wingdings" w:hint="default"/>
      </w:rPr>
    </w:lvl>
    <w:lvl w:ilvl="6" w:tplc="040C0001" w:tentative="1">
      <w:start w:val="1"/>
      <w:numFmt w:val="bullet"/>
      <w:lvlText w:val=""/>
      <w:lvlJc w:val="left"/>
      <w:pPr>
        <w:ind w:left="5440" w:hanging="360"/>
      </w:pPr>
      <w:rPr>
        <w:rFonts w:ascii="Symbol" w:hAnsi="Symbol" w:hint="default"/>
      </w:rPr>
    </w:lvl>
    <w:lvl w:ilvl="7" w:tplc="040C0003" w:tentative="1">
      <w:start w:val="1"/>
      <w:numFmt w:val="bullet"/>
      <w:lvlText w:val="o"/>
      <w:lvlJc w:val="left"/>
      <w:pPr>
        <w:ind w:left="6160" w:hanging="360"/>
      </w:pPr>
      <w:rPr>
        <w:rFonts w:ascii="Courier New" w:hAnsi="Courier New" w:cs="Courier New" w:hint="default"/>
      </w:rPr>
    </w:lvl>
    <w:lvl w:ilvl="8" w:tplc="040C0005" w:tentative="1">
      <w:start w:val="1"/>
      <w:numFmt w:val="bullet"/>
      <w:lvlText w:val=""/>
      <w:lvlJc w:val="left"/>
      <w:pPr>
        <w:ind w:left="6880" w:hanging="360"/>
      </w:pPr>
      <w:rPr>
        <w:rFonts w:ascii="Wingdings" w:hAnsi="Wingdings" w:hint="default"/>
      </w:rPr>
    </w:lvl>
  </w:abstractNum>
  <w:abstractNum w:abstractNumId="68" w15:restartNumberingAfterBreak="0">
    <w:nsid w:val="385B37D8"/>
    <w:multiLevelType w:val="multilevel"/>
    <w:tmpl w:val="859C1A46"/>
    <w:lvl w:ilvl="0">
      <w:start w:val="1"/>
      <w:numFmt w:val="upperLetter"/>
      <w:pStyle w:val="ANNEXN"/>
      <w:suff w:val="nothing"/>
      <w:lvlText w:val="Annexe N%1"/>
      <w:lvlJc w:val="left"/>
      <w:pPr>
        <w:ind w:left="0" w:firstLine="0"/>
      </w:pPr>
      <w:rPr>
        <w:b/>
        <w:i w:val="0"/>
      </w:rPr>
    </w:lvl>
    <w:lvl w:ilvl="1">
      <w:start w:val="1"/>
      <w:numFmt w:val="decimal"/>
      <w:pStyle w:val="na2"/>
      <w:suff w:val="nothing"/>
      <w:lvlText w:val="N%1.%2"/>
      <w:lvlJc w:val="left"/>
      <w:pPr>
        <w:ind w:left="0" w:firstLine="0"/>
      </w:pPr>
    </w:lvl>
    <w:lvl w:ilvl="2">
      <w:start w:val="1"/>
      <w:numFmt w:val="decimal"/>
      <w:pStyle w:val="na3"/>
      <w:suff w:val="nothing"/>
      <w:lvlText w:val="N%1.%2.%3"/>
      <w:lvlJc w:val="left"/>
      <w:pPr>
        <w:ind w:left="0" w:firstLine="0"/>
      </w:pPr>
    </w:lvl>
    <w:lvl w:ilvl="3">
      <w:start w:val="1"/>
      <w:numFmt w:val="decimal"/>
      <w:pStyle w:val="na4"/>
      <w:suff w:val="nothing"/>
      <w:lvlText w:val="N%1.%2.%3.%4"/>
      <w:lvlJc w:val="left"/>
      <w:pPr>
        <w:ind w:left="0" w:firstLine="0"/>
      </w:pPr>
    </w:lvl>
    <w:lvl w:ilvl="4">
      <w:start w:val="1"/>
      <w:numFmt w:val="decimal"/>
      <w:pStyle w:val="na5"/>
      <w:suff w:val="nothing"/>
      <w:lvlText w:val="N%1.%2.%3.%4.%5"/>
      <w:lvlJc w:val="left"/>
      <w:pPr>
        <w:ind w:left="0" w:firstLine="0"/>
      </w:pPr>
    </w:lvl>
    <w:lvl w:ilvl="5">
      <w:start w:val="1"/>
      <w:numFmt w:val="decimal"/>
      <w:pStyle w:val="na6"/>
      <w:suff w:val="nothing"/>
      <w:lvlText w:val="N%1.%2.%3.%4.%5.%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9" w15:restartNumberingAfterBreak="0">
    <w:nsid w:val="387D4433"/>
    <w:multiLevelType w:val="multilevel"/>
    <w:tmpl w:val="EF029DE6"/>
    <w:lvl w:ilvl="0">
      <w:start w:val="1"/>
      <w:numFmt w:val="bullet"/>
      <w:pStyle w:val="Listecontinue"/>
      <w:lvlText w:val=""/>
      <w:lvlJc w:val="left"/>
      <w:pPr>
        <w:ind w:left="400" w:hanging="400"/>
      </w:pPr>
      <w:rPr>
        <w:rFonts w:ascii="Symbol" w:hAnsi="Symbol"/>
      </w:rPr>
    </w:lvl>
    <w:lvl w:ilvl="1">
      <w:start w:val="1"/>
      <w:numFmt w:val="bullet"/>
      <w:pStyle w:val="Listecontinue2"/>
      <w:lvlText w:val=""/>
      <w:lvlJc w:val="left"/>
      <w:pPr>
        <w:ind w:left="800" w:hanging="400"/>
      </w:pPr>
      <w:rPr>
        <w:rFonts w:ascii="Symbol" w:hAnsi="Symbol"/>
      </w:rPr>
    </w:lvl>
    <w:lvl w:ilvl="2">
      <w:start w:val="1"/>
      <w:numFmt w:val="bullet"/>
      <w:pStyle w:val="Listecontinue3"/>
      <w:lvlText w:val=""/>
      <w:lvlJc w:val="left"/>
      <w:pPr>
        <w:ind w:left="1200" w:hanging="400"/>
      </w:pPr>
      <w:rPr>
        <w:rFonts w:ascii="Symbol" w:hAnsi="Symbol"/>
      </w:rPr>
    </w:lvl>
    <w:lvl w:ilvl="3">
      <w:start w:val="1"/>
      <w:numFmt w:val="bullet"/>
      <w:pStyle w:val="Listecontinue4"/>
      <w:lvlText w:val=""/>
      <w:lvlJc w:val="left"/>
      <w:pPr>
        <w:ind w:left="1600" w:hanging="400"/>
      </w:pPr>
      <w:rPr>
        <w:rFonts w:ascii="Symbol" w:hAnsi="Symbol"/>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0" w15:restartNumberingAfterBreak="0">
    <w:nsid w:val="398012F2"/>
    <w:multiLevelType w:val="multilevel"/>
    <w:tmpl w:val="38E283FC"/>
    <w:lvl w:ilvl="0">
      <w:start w:val="1"/>
      <w:numFmt w:val="decimal"/>
      <w:lvlText w:val="%1."/>
      <w:lvlJc w:val="left"/>
      <w:pPr>
        <w:ind w:left="390" w:hanging="390"/>
      </w:pPr>
      <w:rPr>
        <w:rFonts w:hint="default"/>
      </w:rPr>
    </w:lvl>
    <w:lvl w:ilvl="1">
      <w:start w:val="1"/>
      <w:numFmt w:val="decimal"/>
      <w:lvlText w:val="%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3A51018F"/>
    <w:multiLevelType w:val="hybridMultilevel"/>
    <w:tmpl w:val="055CE8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3DCC015E"/>
    <w:multiLevelType w:val="hybridMultilevel"/>
    <w:tmpl w:val="51C6B2F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3E550F17"/>
    <w:multiLevelType w:val="hybridMultilevel"/>
    <w:tmpl w:val="4024212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3F0E4E4D"/>
    <w:multiLevelType w:val="hybridMultilevel"/>
    <w:tmpl w:val="26A63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00F4403"/>
    <w:multiLevelType w:val="hybridMultilevel"/>
    <w:tmpl w:val="CB028E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6" w15:restartNumberingAfterBreak="0">
    <w:nsid w:val="416D29DA"/>
    <w:multiLevelType w:val="hybridMultilevel"/>
    <w:tmpl w:val="AA528826"/>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7" w15:restartNumberingAfterBreak="0">
    <w:nsid w:val="4173262A"/>
    <w:multiLevelType w:val="hybridMultilevel"/>
    <w:tmpl w:val="B636BD8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8" w15:restartNumberingAfterBreak="0">
    <w:nsid w:val="432819E6"/>
    <w:multiLevelType w:val="hybridMultilevel"/>
    <w:tmpl w:val="307A00C8"/>
    <w:lvl w:ilvl="0" w:tplc="040C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42B6913"/>
    <w:multiLevelType w:val="hybridMultilevel"/>
    <w:tmpl w:val="0D68A0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45272CC9"/>
    <w:multiLevelType w:val="hybridMultilevel"/>
    <w:tmpl w:val="8B826F4C"/>
    <w:lvl w:ilvl="0" w:tplc="2C02BB8E">
      <w:start w:val="1"/>
      <w:numFmt w:val="bullet"/>
      <w:lvlText w:val="-"/>
      <w:lvlJc w:val="left"/>
      <w:pPr>
        <w:ind w:left="320" w:hanging="255"/>
      </w:pPr>
      <w:rPr>
        <w:rFonts w:ascii="Calibri" w:eastAsia="Calibri" w:hAnsi="Calibri" w:hint="default"/>
        <w:spacing w:val="-3"/>
        <w:w w:val="100"/>
        <w:sz w:val="24"/>
        <w:szCs w:val="24"/>
      </w:rPr>
    </w:lvl>
    <w:lvl w:ilvl="1" w:tplc="DE6C92F0">
      <w:start w:val="1"/>
      <w:numFmt w:val="bullet"/>
      <w:lvlText w:val="•"/>
      <w:lvlJc w:val="left"/>
      <w:pPr>
        <w:ind w:left="736" w:hanging="255"/>
      </w:pPr>
      <w:rPr>
        <w:rFonts w:hint="default"/>
      </w:rPr>
    </w:lvl>
    <w:lvl w:ilvl="2" w:tplc="AC1671F4">
      <w:start w:val="1"/>
      <w:numFmt w:val="bullet"/>
      <w:lvlText w:val="•"/>
      <w:lvlJc w:val="left"/>
      <w:pPr>
        <w:ind w:left="1153" w:hanging="255"/>
      </w:pPr>
      <w:rPr>
        <w:rFonts w:hint="default"/>
      </w:rPr>
    </w:lvl>
    <w:lvl w:ilvl="3" w:tplc="16FC2E78">
      <w:start w:val="1"/>
      <w:numFmt w:val="bullet"/>
      <w:lvlText w:val="•"/>
      <w:lvlJc w:val="left"/>
      <w:pPr>
        <w:ind w:left="1570" w:hanging="255"/>
      </w:pPr>
      <w:rPr>
        <w:rFonts w:hint="default"/>
      </w:rPr>
    </w:lvl>
    <w:lvl w:ilvl="4" w:tplc="337C767E">
      <w:start w:val="1"/>
      <w:numFmt w:val="bullet"/>
      <w:lvlText w:val="•"/>
      <w:lvlJc w:val="left"/>
      <w:pPr>
        <w:ind w:left="1987" w:hanging="255"/>
      </w:pPr>
      <w:rPr>
        <w:rFonts w:hint="default"/>
      </w:rPr>
    </w:lvl>
    <w:lvl w:ilvl="5" w:tplc="3C0CE7B2">
      <w:start w:val="1"/>
      <w:numFmt w:val="bullet"/>
      <w:lvlText w:val="•"/>
      <w:lvlJc w:val="left"/>
      <w:pPr>
        <w:ind w:left="2403" w:hanging="255"/>
      </w:pPr>
      <w:rPr>
        <w:rFonts w:hint="default"/>
      </w:rPr>
    </w:lvl>
    <w:lvl w:ilvl="6" w:tplc="5FEC4F3A">
      <w:start w:val="1"/>
      <w:numFmt w:val="bullet"/>
      <w:lvlText w:val="•"/>
      <w:lvlJc w:val="left"/>
      <w:pPr>
        <w:ind w:left="2820" w:hanging="255"/>
      </w:pPr>
      <w:rPr>
        <w:rFonts w:hint="default"/>
      </w:rPr>
    </w:lvl>
    <w:lvl w:ilvl="7" w:tplc="E110E1C2">
      <w:start w:val="1"/>
      <w:numFmt w:val="bullet"/>
      <w:lvlText w:val="•"/>
      <w:lvlJc w:val="left"/>
      <w:pPr>
        <w:ind w:left="3237" w:hanging="255"/>
      </w:pPr>
      <w:rPr>
        <w:rFonts w:hint="default"/>
      </w:rPr>
    </w:lvl>
    <w:lvl w:ilvl="8" w:tplc="76F406D6">
      <w:start w:val="1"/>
      <w:numFmt w:val="bullet"/>
      <w:lvlText w:val="•"/>
      <w:lvlJc w:val="left"/>
      <w:pPr>
        <w:ind w:left="3654" w:hanging="255"/>
      </w:pPr>
      <w:rPr>
        <w:rFonts w:hint="default"/>
      </w:rPr>
    </w:lvl>
  </w:abstractNum>
  <w:abstractNum w:abstractNumId="81" w15:restartNumberingAfterBreak="0">
    <w:nsid w:val="463D680E"/>
    <w:multiLevelType w:val="hybridMultilevel"/>
    <w:tmpl w:val="338E37B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2" w15:restartNumberingAfterBreak="0">
    <w:nsid w:val="46421D0B"/>
    <w:multiLevelType w:val="hybridMultilevel"/>
    <w:tmpl w:val="B3EE6152"/>
    <w:lvl w:ilvl="0" w:tplc="D7EACC7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7CF0B28"/>
    <w:multiLevelType w:val="hybridMultilevel"/>
    <w:tmpl w:val="9AA0725E"/>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48952E51"/>
    <w:multiLevelType w:val="hybridMultilevel"/>
    <w:tmpl w:val="17FEC688"/>
    <w:lvl w:ilvl="0" w:tplc="E058380C">
      <w:start w:val="1"/>
      <w:numFmt w:val="bullet"/>
      <w:lvlText w:val="-"/>
      <w:lvlJc w:val="left"/>
      <w:pPr>
        <w:ind w:left="852" w:hanging="360"/>
      </w:pPr>
      <w:rPr>
        <w:rFonts w:ascii="Arial" w:eastAsia="Arial" w:hAnsi="Arial" w:hint="default"/>
        <w:spacing w:val="-3"/>
        <w:w w:val="99"/>
        <w:sz w:val="24"/>
        <w:szCs w:val="24"/>
      </w:rPr>
    </w:lvl>
    <w:lvl w:ilvl="1" w:tplc="6FA809CE">
      <w:start w:val="1"/>
      <w:numFmt w:val="bullet"/>
      <w:lvlText w:val="•"/>
      <w:lvlJc w:val="left"/>
      <w:pPr>
        <w:ind w:left="1524" w:hanging="360"/>
      </w:pPr>
      <w:rPr>
        <w:rFonts w:hint="default"/>
      </w:rPr>
    </w:lvl>
    <w:lvl w:ilvl="2" w:tplc="62049B20">
      <w:start w:val="1"/>
      <w:numFmt w:val="bullet"/>
      <w:lvlText w:val="•"/>
      <w:lvlJc w:val="left"/>
      <w:pPr>
        <w:ind w:left="2189" w:hanging="360"/>
      </w:pPr>
      <w:rPr>
        <w:rFonts w:hint="default"/>
      </w:rPr>
    </w:lvl>
    <w:lvl w:ilvl="3" w:tplc="C90E94AE">
      <w:start w:val="1"/>
      <w:numFmt w:val="bullet"/>
      <w:lvlText w:val="•"/>
      <w:lvlJc w:val="left"/>
      <w:pPr>
        <w:ind w:left="2853" w:hanging="360"/>
      </w:pPr>
      <w:rPr>
        <w:rFonts w:hint="default"/>
      </w:rPr>
    </w:lvl>
    <w:lvl w:ilvl="4" w:tplc="50FC5FE2">
      <w:start w:val="1"/>
      <w:numFmt w:val="bullet"/>
      <w:lvlText w:val="•"/>
      <w:lvlJc w:val="left"/>
      <w:pPr>
        <w:ind w:left="3518" w:hanging="360"/>
      </w:pPr>
      <w:rPr>
        <w:rFonts w:hint="default"/>
      </w:rPr>
    </w:lvl>
    <w:lvl w:ilvl="5" w:tplc="FEE089B4">
      <w:start w:val="1"/>
      <w:numFmt w:val="bullet"/>
      <w:lvlText w:val="•"/>
      <w:lvlJc w:val="left"/>
      <w:pPr>
        <w:ind w:left="4182" w:hanging="360"/>
      </w:pPr>
      <w:rPr>
        <w:rFonts w:hint="default"/>
      </w:rPr>
    </w:lvl>
    <w:lvl w:ilvl="6" w:tplc="36803874">
      <w:start w:val="1"/>
      <w:numFmt w:val="bullet"/>
      <w:lvlText w:val="•"/>
      <w:lvlJc w:val="left"/>
      <w:pPr>
        <w:ind w:left="4847" w:hanging="360"/>
      </w:pPr>
      <w:rPr>
        <w:rFonts w:hint="default"/>
      </w:rPr>
    </w:lvl>
    <w:lvl w:ilvl="7" w:tplc="3A6CB36E">
      <w:start w:val="1"/>
      <w:numFmt w:val="bullet"/>
      <w:lvlText w:val="•"/>
      <w:lvlJc w:val="left"/>
      <w:pPr>
        <w:ind w:left="5512" w:hanging="360"/>
      </w:pPr>
      <w:rPr>
        <w:rFonts w:hint="default"/>
      </w:rPr>
    </w:lvl>
    <w:lvl w:ilvl="8" w:tplc="1402CD6C">
      <w:start w:val="1"/>
      <w:numFmt w:val="bullet"/>
      <w:lvlText w:val="•"/>
      <w:lvlJc w:val="left"/>
      <w:pPr>
        <w:ind w:left="6176" w:hanging="360"/>
      </w:pPr>
      <w:rPr>
        <w:rFonts w:hint="default"/>
      </w:rPr>
    </w:lvl>
  </w:abstractNum>
  <w:abstractNum w:abstractNumId="85" w15:restartNumberingAfterBreak="0">
    <w:nsid w:val="4B76234D"/>
    <w:multiLevelType w:val="hybridMultilevel"/>
    <w:tmpl w:val="1104221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6" w15:restartNumberingAfterBreak="0">
    <w:nsid w:val="501C02AC"/>
    <w:multiLevelType w:val="hybridMultilevel"/>
    <w:tmpl w:val="DDCA3646"/>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509F33D6"/>
    <w:multiLevelType w:val="hybridMultilevel"/>
    <w:tmpl w:val="AE4E84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52815A9B"/>
    <w:multiLevelType w:val="hybridMultilevel"/>
    <w:tmpl w:val="4FF009C8"/>
    <w:lvl w:ilvl="0" w:tplc="4198C2CE">
      <w:start w:val="1"/>
      <w:numFmt w:val="bullet"/>
      <w:lvlText w:val="-"/>
      <w:lvlJc w:val="left"/>
      <w:pPr>
        <w:ind w:left="1428" w:hanging="360"/>
      </w:pPr>
      <w:rPr>
        <w:rFonts w:ascii="Times New Roman" w:eastAsia="Times New Roman" w:hAnsi="Times New Roman" w:cs="Times New Roman"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abstractNum w:abstractNumId="89" w15:restartNumberingAfterBreak="0">
    <w:nsid w:val="52971F2D"/>
    <w:multiLevelType w:val="hybridMultilevel"/>
    <w:tmpl w:val="765E6E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0" w15:restartNumberingAfterBreak="0">
    <w:nsid w:val="52AC6484"/>
    <w:multiLevelType w:val="hybridMultilevel"/>
    <w:tmpl w:val="9568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4992A9A"/>
    <w:multiLevelType w:val="hybridMultilevel"/>
    <w:tmpl w:val="3104E42A"/>
    <w:lvl w:ilvl="0" w:tplc="040C0013">
      <w:start w:val="1"/>
      <w:numFmt w:val="upperRoman"/>
      <w:lvlText w:val="%1."/>
      <w:lvlJc w:val="right"/>
      <w:pPr>
        <w:ind w:left="720" w:hanging="360"/>
      </w:pPr>
    </w:lvl>
    <w:lvl w:ilvl="1" w:tplc="D64CA398">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2" w15:restartNumberingAfterBreak="0">
    <w:nsid w:val="5E971A6F"/>
    <w:multiLevelType w:val="multilevel"/>
    <w:tmpl w:val="971C7DCC"/>
    <w:lvl w:ilvl="0">
      <w:start w:val="1"/>
      <w:numFmt w:val="upperLetter"/>
      <w:pStyle w:val="ANNEXZ"/>
      <w:suff w:val="nothing"/>
      <w:lvlText w:val="Annexe Z%1"/>
      <w:lvlJc w:val="left"/>
      <w:pPr>
        <w:ind w:left="0" w:firstLine="0"/>
      </w:pPr>
      <w:rPr>
        <w:b/>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93" w15:restartNumberingAfterBreak="0">
    <w:nsid w:val="5FF45D2C"/>
    <w:multiLevelType w:val="hybridMultilevel"/>
    <w:tmpl w:val="5B1492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15:restartNumberingAfterBreak="0">
    <w:nsid w:val="60AC6324"/>
    <w:multiLevelType w:val="hybridMultilevel"/>
    <w:tmpl w:val="780A8892"/>
    <w:lvl w:ilvl="0" w:tplc="5D0C2864">
      <w:start w:val="1"/>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15:restartNumberingAfterBreak="0">
    <w:nsid w:val="618D1FCA"/>
    <w:multiLevelType w:val="hybridMultilevel"/>
    <w:tmpl w:val="7BDC4EB4"/>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61C16B3B"/>
    <w:multiLevelType w:val="hybridMultilevel"/>
    <w:tmpl w:val="F82C5A76"/>
    <w:lvl w:ilvl="0" w:tplc="B6D82354">
      <w:start w:val="1"/>
      <w:numFmt w:val="bullet"/>
      <w:lvlText w:val="-"/>
      <w:lvlJc w:val="left"/>
      <w:pPr>
        <w:ind w:left="320" w:hanging="255"/>
      </w:pPr>
      <w:rPr>
        <w:rFonts w:ascii="Calibri" w:eastAsia="Calibri" w:hAnsi="Calibri" w:hint="default"/>
        <w:spacing w:val="-1"/>
        <w:w w:val="100"/>
        <w:sz w:val="24"/>
        <w:szCs w:val="24"/>
      </w:rPr>
    </w:lvl>
    <w:lvl w:ilvl="1" w:tplc="AB267E70">
      <w:start w:val="1"/>
      <w:numFmt w:val="bullet"/>
      <w:lvlText w:val="•"/>
      <w:lvlJc w:val="left"/>
      <w:pPr>
        <w:ind w:left="736" w:hanging="255"/>
      </w:pPr>
      <w:rPr>
        <w:rFonts w:hint="default"/>
      </w:rPr>
    </w:lvl>
    <w:lvl w:ilvl="2" w:tplc="F5B2630E">
      <w:start w:val="1"/>
      <w:numFmt w:val="bullet"/>
      <w:lvlText w:val="•"/>
      <w:lvlJc w:val="left"/>
      <w:pPr>
        <w:ind w:left="1153" w:hanging="255"/>
      </w:pPr>
      <w:rPr>
        <w:rFonts w:hint="default"/>
      </w:rPr>
    </w:lvl>
    <w:lvl w:ilvl="3" w:tplc="94561DB0">
      <w:start w:val="1"/>
      <w:numFmt w:val="bullet"/>
      <w:lvlText w:val="•"/>
      <w:lvlJc w:val="left"/>
      <w:pPr>
        <w:ind w:left="1570" w:hanging="255"/>
      </w:pPr>
      <w:rPr>
        <w:rFonts w:hint="default"/>
      </w:rPr>
    </w:lvl>
    <w:lvl w:ilvl="4" w:tplc="48066C0C">
      <w:start w:val="1"/>
      <w:numFmt w:val="bullet"/>
      <w:lvlText w:val="•"/>
      <w:lvlJc w:val="left"/>
      <w:pPr>
        <w:ind w:left="1987" w:hanging="255"/>
      </w:pPr>
      <w:rPr>
        <w:rFonts w:hint="default"/>
      </w:rPr>
    </w:lvl>
    <w:lvl w:ilvl="5" w:tplc="A99E82E4">
      <w:start w:val="1"/>
      <w:numFmt w:val="bullet"/>
      <w:lvlText w:val="•"/>
      <w:lvlJc w:val="left"/>
      <w:pPr>
        <w:ind w:left="2403" w:hanging="255"/>
      </w:pPr>
      <w:rPr>
        <w:rFonts w:hint="default"/>
      </w:rPr>
    </w:lvl>
    <w:lvl w:ilvl="6" w:tplc="C4EE70EC">
      <w:start w:val="1"/>
      <w:numFmt w:val="bullet"/>
      <w:lvlText w:val="•"/>
      <w:lvlJc w:val="left"/>
      <w:pPr>
        <w:ind w:left="2820" w:hanging="255"/>
      </w:pPr>
      <w:rPr>
        <w:rFonts w:hint="default"/>
      </w:rPr>
    </w:lvl>
    <w:lvl w:ilvl="7" w:tplc="AA32C090">
      <w:start w:val="1"/>
      <w:numFmt w:val="bullet"/>
      <w:lvlText w:val="•"/>
      <w:lvlJc w:val="left"/>
      <w:pPr>
        <w:ind w:left="3237" w:hanging="255"/>
      </w:pPr>
      <w:rPr>
        <w:rFonts w:hint="default"/>
      </w:rPr>
    </w:lvl>
    <w:lvl w:ilvl="8" w:tplc="F9B63F5E">
      <w:start w:val="1"/>
      <w:numFmt w:val="bullet"/>
      <w:lvlText w:val="•"/>
      <w:lvlJc w:val="left"/>
      <w:pPr>
        <w:ind w:left="3654" w:hanging="255"/>
      </w:pPr>
      <w:rPr>
        <w:rFonts w:hint="default"/>
      </w:rPr>
    </w:lvl>
  </w:abstractNum>
  <w:abstractNum w:abstractNumId="97" w15:restartNumberingAfterBreak="0">
    <w:nsid w:val="64D21DF0"/>
    <w:multiLevelType w:val="hybridMultilevel"/>
    <w:tmpl w:val="D550E03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8" w15:restartNumberingAfterBreak="0">
    <w:nsid w:val="65460A40"/>
    <w:multiLevelType w:val="hybridMultilevel"/>
    <w:tmpl w:val="21948D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670F0754"/>
    <w:multiLevelType w:val="hybridMultilevel"/>
    <w:tmpl w:val="97CAC5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0" w15:restartNumberingAfterBreak="0">
    <w:nsid w:val="6B601BFA"/>
    <w:multiLevelType w:val="hybridMultilevel"/>
    <w:tmpl w:val="D19620DA"/>
    <w:lvl w:ilvl="0" w:tplc="3C1C92B6">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15:restartNumberingAfterBreak="0">
    <w:nsid w:val="6C7C176B"/>
    <w:multiLevelType w:val="hybridMultilevel"/>
    <w:tmpl w:val="3828B402"/>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2" w15:restartNumberingAfterBreak="0">
    <w:nsid w:val="6F5D180A"/>
    <w:multiLevelType w:val="hybridMultilevel"/>
    <w:tmpl w:val="DCD69FFE"/>
    <w:lvl w:ilvl="0" w:tplc="5EC64A52">
      <w:start w:val="1"/>
      <w:numFmt w:val="bullet"/>
      <w:lvlText w:val="-"/>
      <w:lvlJc w:val="left"/>
      <w:pPr>
        <w:ind w:left="404" w:hanging="255"/>
      </w:pPr>
      <w:rPr>
        <w:rFonts w:ascii="Calibri" w:eastAsia="Calibri" w:hAnsi="Calibri" w:hint="default"/>
        <w:spacing w:val="-3"/>
        <w:w w:val="99"/>
        <w:sz w:val="24"/>
        <w:szCs w:val="24"/>
      </w:rPr>
    </w:lvl>
    <w:lvl w:ilvl="1" w:tplc="C3120AEE">
      <w:start w:val="1"/>
      <w:numFmt w:val="bullet"/>
      <w:lvlText w:val="•"/>
      <w:lvlJc w:val="left"/>
      <w:pPr>
        <w:ind w:left="704" w:hanging="255"/>
      </w:pPr>
      <w:rPr>
        <w:rFonts w:hint="default"/>
      </w:rPr>
    </w:lvl>
    <w:lvl w:ilvl="2" w:tplc="D04EB580">
      <w:start w:val="1"/>
      <w:numFmt w:val="bullet"/>
      <w:lvlText w:val="•"/>
      <w:lvlJc w:val="left"/>
      <w:pPr>
        <w:ind w:left="1008" w:hanging="255"/>
      </w:pPr>
      <w:rPr>
        <w:rFonts w:hint="default"/>
      </w:rPr>
    </w:lvl>
    <w:lvl w:ilvl="3" w:tplc="8A7665B0">
      <w:start w:val="1"/>
      <w:numFmt w:val="bullet"/>
      <w:lvlText w:val="•"/>
      <w:lvlJc w:val="left"/>
      <w:pPr>
        <w:ind w:left="1312" w:hanging="255"/>
      </w:pPr>
      <w:rPr>
        <w:rFonts w:hint="default"/>
      </w:rPr>
    </w:lvl>
    <w:lvl w:ilvl="4" w:tplc="9DEAC844">
      <w:start w:val="1"/>
      <w:numFmt w:val="bullet"/>
      <w:lvlText w:val="•"/>
      <w:lvlJc w:val="left"/>
      <w:pPr>
        <w:ind w:left="1616" w:hanging="255"/>
      </w:pPr>
      <w:rPr>
        <w:rFonts w:hint="default"/>
      </w:rPr>
    </w:lvl>
    <w:lvl w:ilvl="5" w:tplc="4F643060">
      <w:start w:val="1"/>
      <w:numFmt w:val="bullet"/>
      <w:lvlText w:val="•"/>
      <w:lvlJc w:val="left"/>
      <w:pPr>
        <w:ind w:left="1920" w:hanging="255"/>
      </w:pPr>
      <w:rPr>
        <w:rFonts w:hint="default"/>
      </w:rPr>
    </w:lvl>
    <w:lvl w:ilvl="6" w:tplc="4BFED2A2">
      <w:start w:val="1"/>
      <w:numFmt w:val="bullet"/>
      <w:lvlText w:val="•"/>
      <w:lvlJc w:val="left"/>
      <w:pPr>
        <w:ind w:left="2224" w:hanging="255"/>
      </w:pPr>
      <w:rPr>
        <w:rFonts w:hint="default"/>
      </w:rPr>
    </w:lvl>
    <w:lvl w:ilvl="7" w:tplc="500A286A">
      <w:start w:val="1"/>
      <w:numFmt w:val="bullet"/>
      <w:lvlText w:val="•"/>
      <w:lvlJc w:val="left"/>
      <w:pPr>
        <w:ind w:left="2528" w:hanging="255"/>
      </w:pPr>
      <w:rPr>
        <w:rFonts w:hint="default"/>
      </w:rPr>
    </w:lvl>
    <w:lvl w:ilvl="8" w:tplc="CEE008E4">
      <w:start w:val="1"/>
      <w:numFmt w:val="bullet"/>
      <w:lvlText w:val="•"/>
      <w:lvlJc w:val="left"/>
      <w:pPr>
        <w:ind w:left="2832" w:hanging="255"/>
      </w:pPr>
      <w:rPr>
        <w:rFonts w:hint="default"/>
      </w:rPr>
    </w:lvl>
  </w:abstractNum>
  <w:abstractNum w:abstractNumId="103" w15:restartNumberingAfterBreak="0">
    <w:nsid w:val="7193585B"/>
    <w:multiLevelType w:val="hybridMultilevel"/>
    <w:tmpl w:val="58A2C7F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4" w15:restartNumberingAfterBreak="0">
    <w:nsid w:val="72880A28"/>
    <w:multiLevelType w:val="multilevel"/>
    <w:tmpl w:val="AB6838DE"/>
    <w:lvl w:ilvl="0">
      <w:start w:val="1"/>
      <w:numFmt w:val="bullet"/>
      <w:lvlText w:val=""/>
      <w:lvlJc w:val="left"/>
      <w:pPr>
        <w:tabs>
          <w:tab w:val="num" w:pos="720"/>
        </w:tabs>
        <w:ind w:left="760" w:hanging="400"/>
      </w:pPr>
      <w:rPr>
        <w:rFonts w:ascii="Wingdings" w:hAnsi="Wingdings" w:hint="default"/>
      </w:rPr>
    </w:lvl>
    <w:lvl w:ilvl="1">
      <w:start w:val="1"/>
      <w:numFmt w:val="decimal"/>
      <w:lvlText w:val="%2)"/>
      <w:lvlJc w:val="left"/>
      <w:pPr>
        <w:tabs>
          <w:tab w:val="num" w:pos="1440"/>
        </w:tabs>
        <w:ind w:left="1160" w:hanging="400"/>
      </w:pPr>
    </w:lvl>
    <w:lvl w:ilvl="2">
      <w:start w:val="1"/>
      <w:numFmt w:val="lowerRoman"/>
      <w:pStyle w:val="Listenumros3"/>
      <w:lvlText w:val="%3)"/>
      <w:lvlJc w:val="left"/>
      <w:pPr>
        <w:tabs>
          <w:tab w:val="num" w:pos="2160"/>
        </w:tabs>
        <w:ind w:left="1560" w:hanging="400"/>
      </w:pPr>
    </w:lvl>
    <w:lvl w:ilvl="3">
      <w:start w:val="1"/>
      <w:numFmt w:val="upperRoman"/>
      <w:pStyle w:val="Listenumros4"/>
      <w:lvlText w:val="%4)"/>
      <w:lvlJc w:val="left"/>
      <w:pPr>
        <w:tabs>
          <w:tab w:val="num" w:pos="2880"/>
        </w:tabs>
        <w:ind w:left="1960" w:hanging="400"/>
      </w:pPr>
    </w:lvl>
    <w:lvl w:ilvl="4">
      <w:start w:val="1"/>
      <w:numFmt w:val="decimal"/>
      <w:lvlText w:val="(%5)"/>
      <w:lvlJc w:val="left"/>
      <w:pPr>
        <w:tabs>
          <w:tab w:val="num" w:pos="3600"/>
        </w:tabs>
        <w:ind w:left="3240" w:firstLine="0"/>
      </w:pPr>
    </w:lvl>
    <w:lvl w:ilvl="5">
      <w:start w:val="1"/>
      <w:numFmt w:val="lowerLetter"/>
      <w:lvlText w:val="(%6)"/>
      <w:lvlJc w:val="left"/>
      <w:pPr>
        <w:tabs>
          <w:tab w:val="num" w:pos="4320"/>
        </w:tabs>
        <w:ind w:left="3960" w:firstLine="0"/>
      </w:pPr>
    </w:lvl>
    <w:lvl w:ilvl="6">
      <w:start w:val="1"/>
      <w:numFmt w:val="lowerRoman"/>
      <w:lvlText w:val="(%7)"/>
      <w:lvlJc w:val="left"/>
      <w:pPr>
        <w:tabs>
          <w:tab w:val="num" w:pos="5040"/>
        </w:tabs>
        <w:ind w:left="4680" w:firstLine="0"/>
      </w:pPr>
    </w:lvl>
    <w:lvl w:ilvl="7">
      <w:start w:val="1"/>
      <w:numFmt w:val="lowerLetter"/>
      <w:lvlText w:val="(%8)"/>
      <w:lvlJc w:val="left"/>
      <w:pPr>
        <w:tabs>
          <w:tab w:val="num" w:pos="5760"/>
        </w:tabs>
        <w:ind w:left="5400" w:firstLine="0"/>
      </w:pPr>
    </w:lvl>
    <w:lvl w:ilvl="8">
      <w:start w:val="1"/>
      <w:numFmt w:val="lowerRoman"/>
      <w:lvlText w:val="(%9)"/>
      <w:lvlJc w:val="left"/>
      <w:pPr>
        <w:tabs>
          <w:tab w:val="num" w:pos="6480"/>
        </w:tabs>
        <w:ind w:left="6120" w:firstLine="0"/>
      </w:pPr>
    </w:lvl>
  </w:abstractNum>
  <w:abstractNum w:abstractNumId="105" w15:restartNumberingAfterBreak="0">
    <w:nsid w:val="765E4CF6"/>
    <w:multiLevelType w:val="hybridMultilevel"/>
    <w:tmpl w:val="E2AC92EE"/>
    <w:lvl w:ilvl="0" w:tplc="040C000D">
      <w:start w:val="1"/>
      <w:numFmt w:val="bullet"/>
      <w:lvlText w:val=""/>
      <w:lvlJc w:val="left"/>
      <w:pPr>
        <w:ind w:left="825" w:hanging="360"/>
      </w:pPr>
      <w:rPr>
        <w:rFonts w:ascii="Wingdings" w:hAnsi="Wingdings" w:hint="default"/>
      </w:rPr>
    </w:lvl>
    <w:lvl w:ilvl="1" w:tplc="040C0003" w:tentative="1">
      <w:start w:val="1"/>
      <w:numFmt w:val="bullet"/>
      <w:lvlText w:val="o"/>
      <w:lvlJc w:val="left"/>
      <w:pPr>
        <w:ind w:left="1545" w:hanging="360"/>
      </w:pPr>
      <w:rPr>
        <w:rFonts w:ascii="Courier New" w:hAnsi="Courier New" w:cs="Courier New" w:hint="default"/>
      </w:rPr>
    </w:lvl>
    <w:lvl w:ilvl="2" w:tplc="040C0005" w:tentative="1">
      <w:start w:val="1"/>
      <w:numFmt w:val="bullet"/>
      <w:lvlText w:val=""/>
      <w:lvlJc w:val="left"/>
      <w:pPr>
        <w:ind w:left="2265" w:hanging="360"/>
      </w:pPr>
      <w:rPr>
        <w:rFonts w:ascii="Wingdings" w:hAnsi="Wingdings" w:hint="default"/>
      </w:rPr>
    </w:lvl>
    <w:lvl w:ilvl="3" w:tplc="040C0001" w:tentative="1">
      <w:start w:val="1"/>
      <w:numFmt w:val="bullet"/>
      <w:lvlText w:val=""/>
      <w:lvlJc w:val="left"/>
      <w:pPr>
        <w:ind w:left="2985" w:hanging="360"/>
      </w:pPr>
      <w:rPr>
        <w:rFonts w:ascii="Symbol" w:hAnsi="Symbol" w:hint="default"/>
      </w:rPr>
    </w:lvl>
    <w:lvl w:ilvl="4" w:tplc="040C0003" w:tentative="1">
      <w:start w:val="1"/>
      <w:numFmt w:val="bullet"/>
      <w:lvlText w:val="o"/>
      <w:lvlJc w:val="left"/>
      <w:pPr>
        <w:ind w:left="3705" w:hanging="360"/>
      </w:pPr>
      <w:rPr>
        <w:rFonts w:ascii="Courier New" w:hAnsi="Courier New" w:cs="Courier New" w:hint="default"/>
      </w:rPr>
    </w:lvl>
    <w:lvl w:ilvl="5" w:tplc="040C0005" w:tentative="1">
      <w:start w:val="1"/>
      <w:numFmt w:val="bullet"/>
      <w:lvlText w:val=""/>
      <w:lvlJc w:val="left"/>
      <w:pPr>
        <w:ind w:left="4425" w:hanging="360"/>
      </w:pPr>
      <w:rPr>
        <w:rFonts w:ascii="Wingdings" w:hAnsi="Wingdings" w:hint="default"/>
      </w:rPr>
    </w:lvl>
    <w:lvl w:ilvl="6" w:tplc="040C0001" w:tentative="1">
      <w:start w:val="1"/>
      <w:numFmt w:val="bullet"/>
      <w:lvlText w:val=""/>
      <w:lvlJc w:val="left"/>
      <w:pPr>
        <w:ind w:left="5145" w:hanging="360"/>
      </w:pPr>
      <w:rPr>
        <w:rFonts w:ascii="Symbol" w:hAnsi="Symbol" w:hint="default"/>
      </w:rPr>
    </w:lvl>
    <w:lvl w:ilvl="7" w:tplc="040C0003" w:tentative="1">
      <w:start w:val="1"/>
      <w:numFmt w:val="bullet"/>
      <w:lvlText w:val="o"/>
      <w:lvlJc w:val="left"/>
      <w:pPr>
        <w:ind w:left="5865" w:hanging="360"/>
      </w:pPr>
      <w:rPr>
        <w:rFonts w:ascii="Courier New" w:hAnsi="Courier New" w:cs="Courier New" w:hint="default"/>
      </w:rPr>
    </w:lvl>
    <w:lvl w:ilvl="8" w:tplc="040C0005" w:tentative="1">
      <w:start w:val="1"/>
      <w:numFmt w:val="bullet"/>
      <w:lvlText w:val=""/>
      <w:lvlJc w:val="left"/>
      <w:pPr>
        <w:ind w:left="6585" w:hanging="360"/>
      </w:pPr>
      <w:rPr>
        <w:rFonts w:ascii="Wingdings" w:hAnsi="Wingdings" w:hint="default"/>
      </w:rPr>
    </w:lvl>
  </w:abstractNum>
  <w:abstractNum w:abstractNumId="106" w15:restartNumberingAfterBreak="0">
    <w:nsid w:val="76C3652C"/>
    <w:multiLevelType w:val="hybridMultilevel"/>
    <w:tmpl w:val="259636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63578C"/>
    <w:multiLevelType w:val="hybridMultilevel"/>
    <w:tmpl w:val="C69CC64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8" w15:restartNumberingAfterBreak="0">
    <w:nsid w:val="7C017FF1"/>
    <w:multiLevelType w:val="hybridMultilevel"/>
    <w:tmpl w:val="24981D0E"/>
    <w:lvl w:ilvl="0" w:tplc="4EA2039A">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9" w15:restartNumberingAfterBreak="0">
    <w:nsid w:val="7FD867FA"/>
    <w:multiLevelType w:val="multilevel"/>
    <w:tmpl w:val="F0EAD87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9"/>
  </w:num>
  <w:num w:numId="2">
    <w:abstractNumId w:val="83"/>
  </w:num>
  <w:num w:numId="3">
    <w:abstractNumId w:val="108"/>
  </w:num>
  <w:num w:numId="4">
    <w:abstractNumId w:val="37"/>
  </w:num>
  <w:num w:numId="5">
    <w:abstractNumId w:val="84"/>
  </w:num>
  <w:num w:numId="6">
    <w:abstractNumId w:val="39"/>
  </w:num>
  <w:num w:numId="7">
    <w:abstractNumId w:val="109"/>
  </w:num>
  <w:num w:numId="8">
    <w:abstractNumId w:val="70"/>
  </w:num>
  <w:num w:numId="9">
    <w:abstractNumId w:val="97"/>
  </w:num>
  <w:num w:numId="10">
    <w:abstractNumId w:val="30"/>
  </w:num>
  <w:num w:numId="11">
    <w:abstractNumId w:val="51"/>
  </w:num>
  <w:num w:numId="12">
    <w:abstractNumId w:val="50"/>
  </w:num>
  <w:num w:numId="13">
    <w:abstractNumId w:val="44"/>
  </w:num>
  <w:num w:numId="14">
    <w:abstractNumId w:val="47"/>
  </w:num>
  <w:num w:numId="15">
    <w:abstractNumId w:val="38"/>
  </w:num>
  <w:num w:numId="16">
    <w:abstractNumId w:val="27"/>
  </w:num>
  <w:num w:numId="17">
    <w:abstractNumId w:val="31"/>
  </w:num>
  <w:num w:numId="18">
    <w:abstractNumId w:val="12"/>
  </w:num>
  <w:num w:numId="19">
    <w:abstractNumId w:val="100"/>
  </w:num>
  <w:num w:numId="20">
    <w:abstractNumId w:val="62"/>
  </w:num>
  <w:num w:numId="21">
    <w:abstractNumId w:val="64"/>
  </w:num>
  <w:num w:numId="22">
    <w:abstractNumId w:val="15"/>
  </w:num>
  <w:num w:numId="23">
    <w:abstractNumId w:val="92"/>
  </w:num>
  <w:num w:numId="24">
    <w:abstractNumId w:val="11"/>
  </w:num>
  <w:num w:numId="25">
    <w:abstractNumId w:val="104"/>
  </w:num>
  <w:num w:numId="26">
    <w:abstractNumId w:val="0"/>
  </w:num>
  <w:num w:numId="27">
    <w:abstractNumId w:val="7"/>
  </w:num>
  <w:num w:numId="28">
    <w:abstractNumId w:val="5"/>
  </w:num>
  <w:num w:numId="29">
    <w:abstractNumId w:val="4"/>
  </w:num>
  <w:num w:numId="30">
    <w:abstractNumId w:val="3"/>
  </w:num>
  <w:num w:numId="31">
    <w:abstractNumId w:val="2"/>
  </w:num>
  <w:num w:numId="32">
    <w:abstractNumId w:val="69"/>
  </w:num>
  <w:num w:numId="33">
    <w:abstractNumId w:val="68"/>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1"/>
  </w:num>
  <w:num w:numId="38">
    <w:abstractNumId w:val="26"/>
  </w:num>
  <w:num w:numId="39">
    <w:abstractNumId w:val="103"/>
  </w:num>
  <w:num w:numId="40">
    <w:abstractNumId w:val="80"/>
  </w:num>
  <w:num w:numId="41">
    <w:abstractNumId w:val="96"/>
  </w:num>
  <w:num w:numId="42">
    <w:abstractNumId w:val="60"/>
  </w:num>
  <w:num w:numId="43">
    <w:abstractNumId w:val="102"/>
  </w:num>
  <w:num w:numId="44">
    <w:abstractNumId w:val="81"/>
  </w:num>
  <w:num w:numId="45">
    <w:abstractNumId w:val="105"/>
  </w:num>
  <w:num w:numId="46">
    <w:abstractNumId w:val="58"/>
  </w:num>
  <w:num w:numId="47">
    <w:abstractNumId w:val="98"/>
  </w:num>
  <w:num w:numId="48">
    <w:abstractNumId w:val="66"/>
  </w:num>
  <w:num w:numId="49">
    <w:abstractNumId w:val="54"/>
  </w:num>
  <w:num w:numId="50">
    <w:abstractNumId w:val="57"/>
  </w:num>
  <w:num w:numId="51">
    <w:abstractNumId w:val="22"/>
  </w:num>
  <w:num w:numId="52">
    <w:abstractNumId w:val="16"/>
  </w:num>
  <w:num w:numId="53">
    <w:abstractNumId w:val="71"/>
  </w:num>
  <w:num w:numId="54">
    <w:abstractNumId w:val="79"/>
  </w:num>
  <w:num w:numId="55">
    <w:abstractNumId w:val="49"/>
  </w:num>
  <w:num w:numId="56">
    <w:abstractNumId w:val="20"/>
  </w:num>
  <w:num w:numId="57">
    <w:abstractNumId w:val="86"/>
  </w:num>
  <w:num w:numId="58">
    <w:abstractNumId w:val="34"/>
  </w:num>
  <w:num w:numId="59">
    <w:abstractNumId w:val="29"/>
  </w:num>
  <w:num w:numId="60">
    <w:abstractNumId w:val="18"/>
  </w:num>
  <w:num w:numId="61">
    <w:abstractNumId w:val="42"/>
  </w:num>
  <w:num w:numId="62">
    <w:abstractNumId w:val="74"/>
  </w:num>
  <w:num w:numId="63">
    <w:abstractNumId w:val="78"/>
  </w:num>
  <w:num w:numId="64">
    <w:abstractNumId w:val="17"/>
  </w:num>
  <w:num w:numId="65">
    <w:abstractNumId w:val="106"/>
  </w:num>
  <w:num w:numId="66">
    <w:abstractNumId w:val="65"/>
  </w:num>
  <w:num w:numId="67">
    <w:abstractNumId w:val="90"/>
  </w:num>
  <w:num w:numId="68">
    <w:abstractNumId w:val="23"/>
  </w:num>
  <w:num w:numId="69">
    <w:abstractNumId w:val="82"/>
  </w:num>
  <w:num w:numId="70">
    <w:abstractNumId w:val="48"/>
  </w:num>
  <w:num w:numId="71">
    <w:abstractNumId w:val="19"/>
  </w:num>
  <w:num w:numId="72">
    <w:abstractNumId w:val="56"/>
  </w:num>
  <w:num w:numId="73">
    <w:abstractNumId w:val="55"/>
    <w:lvlOverride w:ilvl="0">
      <w:startOverride w:val="1"/>
    </w:lvlOverride>
    <w:lvlOverride w:ilvl="1">
      <w:startOverride w:val="2"/>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74">
    <w:abstractNumId w:val="40"/>
  </w:num>
  <w:num w:numId="75">
    <w:abstractNumId w:val="88"/>
  </w:num>
  <w:num w:numId="76">
    <w:abstractNumId w:val="28"/>
  </w:num>
  <w:num w:numId="77">
    <w:abstractNumId w:val="41"/>
  </w:num>
  <w:num w:numId="78">
    <w:abstractNumId w:val="10"/>
  </w:num>
  <w:num w:numId="79">
    <w:abstractNumId w:val="61"/>
  </w:num>
  <w:num w:numId="80">
    <w:abstractNumId w:val="94"/>
  </w:num>
  <w:num w:numId="81">
    <w:abstractNumId w:val="32"/>
  </w:num>
  <w:num w:numId="82">
    <w:abstractNumId w:val="63"/>
  </w:num>
  <w:num w:numId="83">
    <w:abstractNumId w:val="25"/>
  </w:num>
  <w:num w:numId="84">
    <w:abstractNumId w:val="46"/>
  </w:num>
  <w:num w:numId="85">
    <w:abstractNumId w:val="89"/>
  </w:num>
  <w:num w:numId="86">
    <w:abstractNumId w:val="33"/>
  </w:num>
  <w:num w:numId="87">
    <w:abstractNumId w:val="35"/>
  </w:num>
  <w:num w:numId="88">
    <w:abstractNumId w:val="73"/>
  </w:num>
  <w:num w:numId="89">
    <w:abstractNumId w:val="107"/>
  </w:num>
  <w:num w:numId="90">
    <w:abstractNumId w:val="72"/>
  </w:num>
  <w:num w:numId="91">
    <w:abstractNumId w:val="8"/>
  </w:num>
  <w:num w:numId="92">
    <w:abstractNumId w:val="45"/>
  </w:num>
  <w:num w:numId="93">
    <w:abstractNumId w:val="75"/>
  </w:num>
  <w:num w:numId="94">
    <w:abstractNumId w:val="91"/>
  </w:num>
  <w:num w:numId="95">
    <w:abstractNumId w:val="99"/>
  </w:num>
  <w:num w:numId="96">
    <w:abstractNumId w:val="53"/>
  </w:num>
  <w:num w:numId="97">
    <w:abstractNumId w:val="85"/>
  </w:num>
  <w:num w:numId="98">
    <w:abstractNumId w:val="14"/>
  </w:num>
  <w:num w:numId="99">
    <w:abstractNumId w:val="24"/>
  </w:num>
  <w:num w:numId="100">
    <w:abstractNumId w:val="87"/>
  </w:num>
  <w:num w:numId="101">
    <w:abstractNumId w:val="43"/>
  </w:num>
  <w:num w:numId="102">
    <w:abstractNumId w:val="67"/>
  </w:num>
  <w:num w:numId="103">
    <w:abstractNumId w:val="77"/>
  </w:num>
  <w:num w:numId="104">
    <w:abstractNumId w:val="93"/>
  </w:num>
  <w:num w:numId="105">
    <w:abstractNumId w:val="9"/>
  </w:num>
  <w:num w:numId="106">
    <w:abstractNumId w:val="76"/>
  </w:num>
  <w:num w:numId="107">
    <w:abstractNumId w:val="101"/>
  </w:num>
  <w:num w:numId="108">
    <w:abstractNumId w:val="13"/>
  </w:num>
  <w:num w:numId="109">
    <w:abstractNumId w:val="21"/>
  </w:num>
  <w:num w:numId="110">
    <w:abstractNumId w:val="52"/>
  </w:num>
  <w:num w:numId="111">
    <w:abstractNumId w:val="95"/>
  </w:num>
  <w:num w:numId="112">
    <w:abstractNumId w:val="3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B30"/>
    <w:rsid w:val="000029EB"/>
    <w:rsid w:val="00003277"/>
    <w:rsid w:val="00006CDD"/>
    <w:rsid w:val="000120A9"/>
    <w:rsid w:val="00017832"/>
    <w:rsid w:val="00017968"/>
    <w:rsid w:val="00017DA8"/>
    <w:rsid w:val="0002568B"/>
    <w:rsid w:val="000330BF"/>
    <w:rsid w:val="00033836"/>
    <w:rsid w:val="00034A9C"/>
    <w:rsid w:val="0003502B"/>
    <w:rsid w:val="00036AAC"/>
    <w:rsid w:val="000379B7"/>
    <w:rsid w:val="00043462"/>
    <w:rsid w:val="00046869"/>
    <w:rsid w:val="00046FC3"/>
    <w:rsid w:val="00050312"/>
    <w:rsid w:val="0005051E"/>
    <w:rsid w:val="00051213"/>
    <w:rsid w:val="000545B4"/>
    <w:rsid w:val="00054763"/>
    <w:rsid w:val="00054E8D"/>
    <w:rsid w:val="000560EB"/>
    <w:rsid w:val="0005702C"/>
    <w:rsid w:val="000577C6"/>
    <w:rsid w:val="000610B0"/>
    <w:rsid w:val="0006382F"/>
    <w:rsid w:val="00064BDB"/>
    <w:rsid w:val="00071EB0"/>
    <w:rsid w:val="000740B1"/>
    <w:rsid w:val="00074D50"/>
    <w:rsid w:val="00077675"/>
    <w:rsid w:val="000822D2"/>
    <w:rsid w:val="00082593"/>
    <w:rsid w:val="000827FD"/>
    <w:rsid w:val="00083011"/>
    <w:rsid w:val="00085E2C"/>
    <w:rsid w:val="000919A7"/>
    <w:rsid w:val="000944E4"/>
    <w:rsid w:val="00095C40"/>
    <w:rsid w:val="000A1205"/>
    <w:rsid w:val="000B58B3"/>
    <w:rsid w:val="000B5FB3"/>
    <w:rsid w:val="000C288A"/>
    <w:rsid w:val="000D2ED8"/>
    <w:rsid w:val="000E16E5"/>
    <w:rsid w:val="000E5439"/>
    <w:rsid w:val="000E5561"/>
    <w:rsid w:val="000E561E"/>
    <w:rsid w:val="000E5E98"/>
    <w:rsid w:val="000F124C"/>
    <w:rsid w:val="000F39F9"/>
    <w:rsid w:val="000F5BA3"/>
    <w:rsid w:val="000F5DE3"/>
    <w:rsid w:val="0010313D"/>
    <w:rsid w:val="00104BBA"/>
    <w:rsid w:val="00107192"/>
    <w:rsid w:val="0010759D"/>
    <w:rsid w:val="00125D3A"/>
    <w:rsid w:val="00127724"/>
    <w:rsid w:val="001300AB"/>
    <w:rsid w:val="00133ACC"/>
    <w:rsid w:val="00135E14"/>
    <w:rsid w:val="00136659"/>
    <w:rsid w:val="00136958"/>
    <w:rsid w:val="00136D85"/>
    <w:rsid w:val="00145264"/>
    <w:rsid w:val="00146214"/>
    <w:rsid w:val="0015251B"/>
    <w:rsid w:val="001536AB"/>
    <w:rsid w:val="00161255"/>
    <w:rsid w:val="0016263A"/>
    <w:rsid w:val="00164CE0"/>
    <w:rsid w:val="001655B9"/>
    <w:rsid w:val="00171767"/>
    <w:rsid w:val="0017341E"/>
    <w:rsid w:val="00174DAA"/>
    <w:rsid w:val="001922F2"/>
    <w:rsid w:val="00192818"/>
    <w:rsid w:val="00192ACB"/>
    <w:rsid w:val="0019304B"/>
    <w:rsid w:val="00196FAC"/>
    <w:rsid w:val="00197881"/>
    <w:rsid w:val="001A0B6A"/>
    <w:rsid w:val="001A1F86"/>
    <w:rsid w:val="001A2726"/>
    <w:rsid w:val="001A4558"/>
    <w:rsid w:val="001A6686"/>
    <w:rsid w:val="001B28F6"/>
    <w:rsid w:val="001B5F03"/>
    <w:rsid w:val="001C0E48"/>
    <w:rsid w:val="001C3CD8"/>
    <w:rsid w:val="001C466F"/>
    <w:rsid w:val="001C5251"/>
    <w:rsid w:val="001C7F07"/>
    <w:rsid w:val="001D6226"/>
    <w:rsid w:val="001D683C"/>
    <w:rsid w:val="001E2201"/>
    <w:rsid w:val="001E73D0"/>
    <w:rsid w:val="001F14EF"/>
    <w:rsid w:val="001F3AB8"/>
    <w:rsid w:val="001F7572"/>
    <w:rsid w:val="0020218D"/>
    <w:rsid w:val="0020226B"/>
    <w:rsid w:val="00205434"/>
    <w:rsid w:val="00205C53"/>
    <w:rsid w:val="00212037"/>
    <w:rsid w:val="00212553"/>
    <w:rsid w:val="00213206"/>
    <w:rsid w:val="002154BF"/>
    <w:rsid w:val="00221435"/>
    <w:rsid w:val="0022445B"/>
    <w:rsid w:val="00224687"/>
    <w:rsid w:val="0022619E"/>
    <w:rsid w:val="0022711D"/>
    <w:rsid w:val="00234054"/>
    <w:rsid w:val="00235FF5"/>
    <w:rsid w:val="00240B43"/>
    <w:rsid w:val="00240C16"/>
    <w:rsid w:val="00243A26"/>
    <w:rsid w:val="0024661A"/>
    <w:rsid w:val="00246630"/>
    <w:rsid w:val="0025018C"/>
    <w:rsid w:val="002526EB"/>
    <w:rsid w:val="00252C77"/>
    <w:rsid w:val="00255AD4"/>
    <w:rsid w:val="00261B29"/>
    <w:rsid w:val="002700C2"/>
    <w:rsid w:val="00270EC4"/>
    <w:rsid w:val="00271A46"/>
    <w:rsid w:val="002825AD"/>
    <w:rsid w:val="00282778"/>
    <w:rsid w:val="00285444"/>
    <w:rsid w:val="00285F29"/>
    <w:rsid w:val="002A2BF7"/>
    <w:rsid w:val="002A2EB4"/>
    <w:rsid w:val="002A52D6"/>
    <w:rsid w:val="002A5B9C"/>
    <w:rsid w:val="002A6B8F"/>
    <w:rsid w:val="002B2264"/>
    <w:rsid w:val="002B603B"/>
    <w:rsid w:val="002C15B4"/>
    <w:rsid w:val="002C6259"/>
    <w:rsid w:val="002E3BEB"/>
    <w:rsid w:val="002E4EC9"/>
    <w:rsid w:val="002E6B83"/>
    <w:rsid w:val="002F3565"/>
    <w:rsid w:val="002F6000"/>
    <w:rsid w:val="002F7760"/>
    <w:rsid w:val="00307195"/>
    <w:rsid w:val="00313366"/>
    <w:rsid w:val="003152D8"/>
    <w:rsid w:val="0031737E"/>
    <w:rsid w:val="003265BA"/>
    <w:rsid w:val="0032688E"/>
    <w:rsid w:val="00326BD1"/>
    <w:rsid w:val="00327726"/>
    <w:rsid w:val="00333066"/>
    <w:rsid w:val="00335ED9"/>
    <w:rsid w:val="00351FCC"/>
    <w:rsid w:val="00355D21"/>
    <w:rsid w:val="003578A6"/>
    <w:rsid w:val="00362FB5"/>
    <w:rsid w:val="00376ABB"/>
    <w:rsid w:val="003778B3"/>
    <w:rsid w:val="003821C5"/>
    <w:rsid w:val="00386657"/>
    <w:rsid w:val="00386731"/>
    <w:rsid w:val="00392565"/>
    <w:rsid w:val="00394C6D"/>
    <w:rsid w:val="00396A9A"/>
    <w:rsid w:val="003A33F0"/>
    <w:rsid w:val="003A48AC"/>
    <w:rsid w:val="003B4488"/>
    <w:rsid w:val="003B7ABB"/>
    <w:rsid w:val="003C2C9D"/>
    <w:rsid w:val="003C3985"/>
    <w:rsid w:val="003C5F23"/>
    <w:rsid w:val="003D4C59"/>
    <w:rsid w:val="003D63F9"/>
    <w:rsid w:val="003E02BC"/>
    <w:rsid w:val="003E05EA"/>
    <w:rsid w:val="003E21B9"/>
    <w:rsid w:val="003E2F3C"/>
    <w:rsid w:val="003E57B8"/>
    <w:rsid w:val="003E7F84"/>
    <w:rsid w:val="003F290D"/>
    <w:rsid w:val="003F293B"/>
    <w:rsid w:val="003F2AB1"/>
    <w:rsid w:val="003F3789"/>
    <w:rsid w:val="003F532B"/>
    <w:rsid w:val="004002DE"/>
    <w:rsid w:val="00400B6E"/>
    <w:rsid w:val="00410A80"/>
    <w:rsid w:val="00411D87"/>
    <w:rsid w:val="00412298"/>
    <w:rsid w:val="004161D8"/>
    <w:rsid w:val="004165B7"/>
    <w:rsid w:val="00421C73"/>
    <w:rsid w:val="0042244E"/>
    <w:rsid w:val="00422A82"/>
    <w:rsid w:val="00422FAF"/>
    <w:rsid w:val="00424C64"/>
    <w:rsid w:val="00433291"/>
    <w:rsid w:val="004339E8"/>
    <w:rsid w:val="00434707"/>
    <w:rsid w:val="00436299"/>
    <w:rsid w:val="00437322"/>
    <w:rsid w:val="00440898"/>
    <w:rsid w:val="00442EC9"/>
    <w:rsid w:val="00443A42"/>
    <w:rsid w:val="00447A5E"/>
    <w:rsid w:val="00450FF6"/>
    <w:rsid w:val="004527EE"/>
    <w:rsid w:val="00452B30"/>
    <w:rsid w:val="00452CE7"/>
    <w:rsid w:val="00454A5E"/>
    <w:rsid w:val="00457976"/>
    <w:rsid w:val="00462DD7"/>
    <w:rsid w:val="00470291"/>
    <w:rsid w:val="00475166"/>
    <w:rsid w:val="004763A4"/>
    <w:rsid w:val="00480391"/>
    <w:rsid w:val="00486312"/>
    <w:rsid w:val="00486883"/>
    <w:rsid w:val="004869AE"/>
    <w:rsid w:val="00492C04"/>
    <w:rsid w:val="00495D0B"/>
    <w:rsid w:val="004B1B0E"/>
    <w:rsid w:val="004B4FAD"/>
    <w:rsid w:val="004B55FE"/>
    <w:rsid w:val="004B6251"/>
    <w:rsid w:val="004C35FC"/>
    <w:rsid w:val="004D04C2"/>
    <w:rsid w:val="004D3A55"/>
    <w:rsid w:val="004D51DA"/>
    <w:rsid w:val="004D6532"/>
    <w:rsid w:val="004E388B"/>
    <w:rsid w:val="004E59DD"/>
    <w:rsid w:val="004F12D3"/>
    <w:rsid w:val="004F1AE8"/>
    <w:rsid w:val="004F2EA1"/>
    <w:rsid w:val="004F66B3"/>
    <w:rsid w:val="00501774"/>
    <w:rsid w:val="00501BE6"/>
    <w:rsid w:val="0050452E"/>
    <w:rsid w:val="00510319"/>
    <w:rsid w:val="005155A5"/>
    <w:rsid w:val="00517FC1"/>
    <w:rsid w:val="005219FB"/>
    <w:rsid w:val="00530A0C"/>
    <w:rsid w:val="0053178E"/>
    <w:rsid w:val="00541FD4"/>
    <w:rsid w:val="00544FE5"/>
    <w:rsid w:val="005502E9"/>
    <w:rsid w:val="00552A62"/>
    <w:rsid w:val="00556482"/>
    <w:rsid w:val="00563E62"/>
    <w:rsid w:val="0057016A"/>
    <w:rsid w:val="00577501"/>
    <w:rsid w:val="0057765F"/>
    <w:rsid w:val="00577D2E"/>
    <w:rsid w:val="005962FF"/>
    <w:rsid w:val="005963AE"/>
    <w:rsid w:val="005A1447"/>
    <w:rsid w:val="005A15A0"/>
    <w:rsid w:val="005A1C1A"/>
    <w:rsid w:val="005A3F59"/>
    <w:rsid w:val="005B0347"/>
    <w:rsid w:val="005B139D"/>
    <w:rsid w:val="005B5701"/>
    <w:rsid w:val="005B5D4B"/>
    <w:rsid w:val="005C03D0"/>
    <w:rsid w:val="005C0A11"/>
    <w:rsid w:val="005C129B"/>
    <w:rsid w:val="005C3BFD"/>
    <w:rsid w:val="005C4429"/>
    <w:rsid w:val="005C5A2E"/>
    <w:rsid w:val="005D0218"/>
    <w:rsid w:val="005D0823"/>
    <w:rsid w:val="005D48C9"/>
    <w:rsid w:val="005D5656"/>
    <w:rsid w:val="005D7956"/>
    <w:rsid w:val="005E3ED4"/>
    <w:rsid w:val="005E4F02"/>
    <w:rsid w:val="005F0DC0"/>
    <w:rsid w:val="005F2BF2"/>
    <w:rsid w:val="005F47F6"/>
    <w:rsid w:val="005F7794"/>
    <w:rsid w:val="005F7BAC"/>
    <w:rsid w:val="00605E86"/>
    <w:rsid w:val="0060739C"/>
    <w:rsid w:val="00607C09"/>
    <w:rsid w:val="00607DCB"/>
    <w:rsid w:val="0061020E"/>
    <w:rsid w:val="0061029F"/>
    <w:rsid w:val="006107C2"/>
    <w:rsid w:val="006111C5"/>
    <w:rsid w:val="00616EB2"/>
    <w:rsid w:val="0062051B"/>
    <w:rsid w:val="006255D6"/>
    <w:rsid w:val="0062591D"/>
    <w:rsid w:val="006279FA"/>
    <w:rsid w:val="00632D73"/>
    <w:rsid w:val="00641BF3"/>
    <w:rsid w:val="00641EC7"/>
    <w:rsid w:val="00642A3E"/>
    <w:rsid w:val="006535B1"/>
    <w:rsid w:val="006546E6"/>
    <w:rsid w:val="00661F2E"/>
    <w:rsid w:val="006622E2"/>
    <w:rsid w:val="0066435F"/>
    <w:rsid w:val="0068111E"/>
    <w:rsid w:val="006847BA"/>
    <w:rsid w:val="00691323"/>
    <w:rsid w:val="00692150"/>
    <w:rsid w:val="00696001"/>
    <w:rsid w:val="006976C6"/>
    <w:rsid w:val="006A3995"/>
    <w:rsid w:val="006A7AC4"/>
    <w:rsid w:val="006B3BE9"/>
    <w:rsid w:val="006B4110"/>
    <w:rsid w:val="006C0C1C"/>
    <w:rsid w:val="006C0D91"/>
    <w:rsid w:val="006C1C11"/>
    <w:rsid w:val="006C2BAB"/>
    <w:rsid w:val="006C398E"/>
    <w:rsid w:val="006C3E66"/>
    <w:rsid w:val="006C457D"/>
    <w:rsid w:val="006C5BC6"/>
    <w:rsid w:val="006D1AC9"/>
    <w:rsid w:val="006D45CC"/>
    <w:rsid w:val="006D5E00"/>
    <w:rsid w:val="006D5F16"/>
    <w:rsid w:val="006E6FCD"/>
    <w:rsid w:val="006F080C"/>
    <w:rsid w:val="006F1383"/>
    <w:rsid w:val="006F370A"/>
    <w:rsid w:val="007013DB"/>
    <w:rsid w:val="00704BA1"/>
    <w:rsid w:val="00704C73"/>
    <w:rsid w:val="00706586"/>
    <w:rsid w:val="00710760"/>
    <w:rsid w:val="00711011"/>
    <w:rsid w:val="00711F27"/>
    <w:rsid w:val="007139C7"/>
    <w:rsid w:val="00715144"/>
    <w:rsid w:val="00715694"/>
    <w:rsid w:val="00716CBC"/>
    <w:rsid w:val="00717ACC"/>
    <w:rsid w:val="00723457"/>
    <w:rsid w:val="007245C7"/>
    <w:rsid w:val="007251BD"/>
    <w:rsid w:val="00727999"/>
    <w:rsid w:val="00732685"/>
    <w:rsid w:val="00732CD1"/>
    <w:rsid w:val="00732D69"/>
    <w:rsid w:val="00733721"/>
    <w:rsid w:val="00734385"/>
    <w:rsid w:val="0074347B"/>
    <w:rsid w:val="00745064"/>
    <w:rsid w:val="00751545"/>
    <w:rsid w:val="0075657A"/>
    <w:rsid w:val="00756F9F"/>
    <w:rsid w:val="00772F3B"/>
    <w:rsid w:val="007832A9"/>
    <w:rsid w:val="00786FC3"/>
    <w:rsid w:val="007906C4"/>
    <w:rsid w:val="00792DA4"/>
    <w:rsid w:val="00794AF0"/>
    <w:rsid w:val="007A0ADE"/>
    <w:rsid w:val="007A15EE"/>
    <w:rsid w:val="007A228E"/>
    <w:rsid w:val="007A69B2"/>
    <w:rsid w:val="007B0020"/>
    <w:rsid w:val="007B0A06"/>
    <w:rsid w:val="007B53E8"/>
    <w:rsid w:val="007B7A40"/>
    <w:rsid w:val="007C4808"/>
    <w:rsid w:val="007D2D20"/>
    <w:rsid w:val="007D2F7A"/>
    <w:rsid w:val="007D44AE"/>
    <w:rsid w:val="007D7628"/>
    <w:rsid w:val="007E1886"/>
    <w:rsid w:val="007E361B"/>
    <w:rsid w:val="007E5D18"/>
    <w:rsid w:val="007E6931"/>
    <w:rsid w:val="007E72FD"/>
    <w:rsid w:val="007F2B10"/>
    <w:rsid w:val="00800118"/>
    <w:rsid w:val="00806A3D"/>
    <w:rsid w:val="00806A48"/>
    <w:rsid w:val="00812018"/>
    <w:rsid w:val="00817B5C"/>
    <w:rsid w:val="00822CA0"/>
    <w:rsid w:val="00823FC9"/>
    <w:rsid w:val="00826AA6"/>
    <w:rsid w:val="008366DD"/>
    <w:rsid w:val="0083743F"/>
    <w:rsid w:val="00843AD1"/>
    <w:rsid w:val="00844FE3"/>
    <w:rsid w:val="008454CB"/>
    <w:rsid w:val="00852BC1"/>
    <w:rsid w:val="00861D4B"/>
    <w:rsid w:val="00862572"/>
    <w:rsid w:val="00865A47"/>
    <w:rsid w:val="00865FC1"/>
    <w:rsid w:val="00872A44"/>
    <w:rsid w:val="00872B51"/>
    <w:rsid w:val="008746DE"/>
    <w:rsid w:val="00880B4B"/>
    <w:rsid w:val="00886F08"/>
    <w:rsid w:val="0088755D"/>
    <w:rsid w:val="00887E30"/>
    <w:rsid w:val="00891E99"/>
    <w:rsid w:val="008923EC"/>
    <w:rsid w:val="00892C99"/>
    <w:rsid w:val="008A03D3"/>
    <w:rsid w:val="008A196E"/>
    <w:rsid w:val="008A29E3"/>
    <w:rsid w:val="008A3181"/>
    <w:rsid w:val="008A33CA"/>
    <w:rsid w:val="008A3749"/>
    <w:rsid w:val="008B1A89"/>
    <w:rsid w:val="008C348A"/>
    <w:rsid w:val="008C432D"/>
    <w:rsid w:val="008C4E94"/>
    <w:rsid w:val="008C5C24"/>
    <w:rsid w:val="008C5D22"/>
    <w:rsid w:val="008C7F3C"/>
    <w:rsid w:val="008D0979"/>
    <w:rsid w:val="008D1CE4"/>
    <w:rsid w:val="008D7D5C"/>
    <w:rsid w:val="008E6524"/>
    <w:rsid w:val="008F030D"/>
    <w:rsid w:val="008F2A77"/>
    <w:rsid w:val="008F6018"/>
    <w:rsid w:val="008F6CF1"/>
    <w:rsid w:val="00900709"/>
    <w:rsid w:val="00903DC9"/>
    <w:rsid w:val="00904320"/>
    <w:rsid w:val="00904B17"/>
    <w:rsid w:val="009100B0"/>
    <w:rsid w:val="00910939"/>
    <w:rsid w:val="0091225C"/>
    <w:rsid w:val="009142D0"/>
    <w:rsid w:val="00922006"/>
    <w:rsid w:val="00922E09"/>
    <w:rsid w:val="00925DCD"/>
    <w:rsid w:val="009262EF"/>
    <w:rsid w:val="00927983"/>
    <w:rsid w:val="009303F5"/>
    <w:rsid w:val="00937CFD"/>
    <w:rsid w:val="00940A0E"/>
    <w:rsid w:val="00942279"/>
    <w:rsid w:val="0094480C"/>
    <w:rsid w:val="009479A9"/>
    <w:rsid w:val="009517A0"/>
    <w:rsid w:val="00952C1B"/>
    <w:rsid w:val="00955543"/>
    <w:rsid w:val="00955F61"/>
    <w:rsid w:val="009610F2"/>
    <w:rsid w:val="00962722"/>
    <w:rsid w:val="00963382"/>
    <w:rsid w:val="00970E44"/>
    <w:rsid w:val="00974A8F"/>
    <w:rsid w:val="009842D5"/>
    <w:rsid w:val="00984E05"/>
    <w:rsid w:val="0098587D"/>
    <w:rsid w:val="00985952"/>
    <w:rsid w:val="00992704"/>
    <w:rsid w:val="009943F6"/>
    <w:rsid w:val="009965AA"/>
    <w:rsid w:val="009B2C60"/>
    <w:rsid w:val="009B5953"/>
    <w:rsid w:val="009B71E5"/>
    <w:rsid w:val="009C1094"/>
    <w:rsid w:val="009C126D"/>
    <w:rsid w:val="009C2BD5"/>
    <w:rsid w:val="009C3EE4"/>
    <w:rsid w:val="009C6B6D"/>
    <w:rsid w:val="009C760C"/>
    <w:rsid w:val="009C7F78"/>
    <w:rsid w:val="009D0107"/>
    <w:rsid w:val="009D0260"/>
    <w:rsid w:val="009D3E8C"/>
    <w:rsid w:val="009D4F23"/>
    <w:rsid w:val="009D6A6D"/>
    <w:rsid w:val="009E4715"/>
    <w:rsid w:val="009E4F6B"/>
    <w:rsid w:val="009F01A0"/>
    <w:rsid w:val="009F21F6"/>
    <w:rsid w:val="009F2249"/>
    <w:rsid w:val="009F38D1"/>
    <w:rsid w:val="009F5069"/>
    <w:rsid w:val="00A02452"/>
    <w:rsid w:val="00A02AD8"/>
    <w:rsid w:val="00A04029"/>
    <w:rsid w:val="00A07561"/>
    <w:rsid w:val="00A21033"/>
    <w:rsid w:val="00A2489C"/>
    <w:rsid w:val="00A25FE6"/>
    <w:rsid w:val="00A275ED"/>
    <w:rsid w:val="00A30054"/>
    <w:rsid w:val="00A31E78"/>
    <w:rsid w:val="00A3676C"/>
    <w:rsid w:val="00A3723C"/>
    <w:rsid w:val="00A439FB"/>
    <w:rsid w:val="00A43AE7"/>
    <w:rsid w:val="00A442F1"/>
    <w:rsid w:val="00A45CF4"/>
    <w:rsid w:val="00A513FA"/>
    <w:rsid w:val="00A530AB"/>
    <w:rsid w:val="00A55231"/>
    <w:rsid w:val="00A55517"/>
    <w:rsid w:val="00A6338E"/>
    <w:rsid w:val="00A634F2"/>
    <w:rsid w:val="00A6351F"/>
    <w:rsid w:val="00A74BED"/>
    <w:rsid w:val="00A82CE0"/>
    <w:rsid w:val="00A858B0"/>
    <w:rsid w:val="00A8676B"/>
    <w:rsid w:val="00A86EFE"/>
    <w:rsid w:val="00A93E42"/>
    <w:rsid w:val="00A94001"/>
    <w:rsid w:val="00A950FD"/>
    <w:rsid w:val="00A9582B"/>
    <w:rsid w:val="00AA249B"/>
    <w:rsid w:val="00AB1111"/>
    <w:rsid w:val="00AB1D4C"/>
    <w:rsid w:val="00AB2CD9"/>
    <w:rsid w:val="00AB685A"/>
    <w:rsid w:val="00AB7B50"/>
    <w:rsid w:val="00AC0910"/>
    <w:rsid w:val="00AC183F"/>
    <w:rsid w:val="00AC1AB5"/>
    <w:rsid w:val="00AC2079"/>
    <w:rsid w:val="00AC2B6D"/>
    <w:rsid w:val="00AC408E"/>
    <w:rsid w:val="00AC4F47"/>
    <w:rsid w:val="00AD0E58"/>
    <w:rsid w:val="00AD0FA0"/>
    <w:rsid w:val="00AD5AED"/>
    <w:rsid w:val="00AD7F5E"/>
    <w:rsid w:val="00AE17F2"/>
    <w:rsid w:val="00AE1B6D"/>
    <w:rsid w:val="00AE2259"/>
    <w:rsid w:val="00AE30D2"/>
    <w:rsid w:val="00AE38D0"/>
    <w:rsid w:val="00AE65B6"/>
    <w:rsid w:val="00AE6955"/>
    <w:rsid w:val="00AE7B40"/>
    <w:rsid w:val="00AF0702"/>
    <w:rsid w:val="00AF6C19"/>
    <w:rsid w:val="00B0315C"/>
    <w:rsid w:val="00B03372"/>
    <w:rsid w:val="00B07E0F"/>
    <w:rsid w:val="00B10AEB"/>
    <w:rsid w:val="00B21931"/>
    <w:rsid w:val="00B219BB"/>
    <w:rsid w:val="00B24732"/>
    <w:rsid w:val="00B251B0"/>
    <w:rsid w:val="00B31771"/>
    <w:rsid w:val="00B35B51"/>
    <w:rsid w:val="00B37655"/>
    <w:rsid w:val="00B3767C"/>
    <w:rsid w:val="00B4062A"/>
    <w:rsid w:val="00B40ADF"/>
    <w:rsid w:val="00B411E7"/>
    <w:rsid w:val="00B41245"/>
    <w:rsid w:val="00B42BFF"/>
    <w:rsid w:val="00B463D7"/>
    <w:rsid w:val="00B626D9"/>
    <w:rsid w:val="00B63942"/>
    <w:rsid w:val="00B714FE"/>
    <w:rsid w:val="00B717D9"/>
    <w:rsid w:val="00B71F4C"/>
    <w:rsid w:val="00B7245D"/>
    <w:rsid w:val="00B73B0A"/>
    <w:rsid w:val="00B7624B"/>
    <w:rsid w:val="00B828E7"/>
    <w:rsid w:val="00B83DD1"/>
    <w:rsid w:val="00B843D8"/>
    <w:rsid w:val="00B86DE7"/>
    <w:rsid w:val="00B92C24"/>
    <w:rsid w:val="00BA0C56"/>
    <w:rsid w:val="00BA0E95"/>
    <w:rsid w:val="00BA2806"/>
    <w:rsid w:val="00BA2E71"/>
    <w:rsid w:val="00BA33B7"/>
    <w:rsid w:val="00BA5F33"/>
    <w:rsid w:val="00BB3A22"/>
    <w:rsid w:val="00BB3F24"/>
    <w:rsid w:val="00BB4182"/>
    <w:rsid w:val="00BB456A"/>
    <w:rsid w:val="00BB4FBF"/>
    <w:rsid w:val="00BB74D6"/>
    <w:rsid w:val="00BC0815"/>
    <w:rsid w:val="00BC1877"/>
    <w:rsid w:val="00BC4B72"/>
    <w:rsid w:val="00BC794C"/>
    <w:rsid w:val="00BD02DF"/>
    <w:rsid w:val="00BD0D54"/>
    <w:rsid w:val="00BD12D6"/>
    <w:rsid w:val="00BD5C84"/>
    <w:rsid w:val="00BD6A85"/>
    <w:rsid w:val="00BE397C"/>
    <w:rsid w:val="00BE4EAF"/>
    <w:rsid w:val="00BF763A"/>
    <w:rsid w:val="00BF7D16"/>
    <w:rsid w:val="00C000AB"/>
    <w:rsid w:val="00C02D57"/>
    <w:rsid w:val="00C0457D"/>
    <w:rsid w:val="00C14687"/>
    <w:rsid w:val="00C15BC1"/>
    <w:rsid w:val="00C27000"/>
    <w:rsid w:val="00C27BEE"/>
    <w:rsid w:val="00C27DB2"/>
    <w:rsid w:val="00C3046C"/>
    <w:rsid w:val="00C376A2"/>
    <w:rsid w:val="00C47581"/>
    <w:rsid w:val="00C47823"/>
    <w:rsid w:val="00C531AA"/>
    <w:rsid w:val="00C54440"/>
    <w:rsid w:val="00C56FAF"/>
    <w:rsid w:val="00C654DA"/>
    <w:rsid w:val="00C66A92"/>
    <w:rsid w:val="00C71A3D"/>
    <w:rsid w:val="00C76E53"/>
    <w:rsid w:val="00C83184"/>
    <w:rsid w:val="00C83D9A"/>
    <w:rsid w:val="00C9300A"/>
    <w:rsid w:val="00C96626"/>
    <w:rsid w:val="00CA1A4C"/>
    <w:rsid w:val="00CA35B6"/>
    <w:rsid w:val="00CA483C"/>
    <w:rsid w:val="00CA6BDB"/>
    <w:rsid w:val="00CB2FE5"/>
    <w:rsid w:val="00CC1170"/>
    <w:rsid w:val="00CC1E1E"/>
    <w:rsid w:val="00CC304B"/>
    <w:rsid w:val="00CD7482"/>
    <w:rsid w:val="00CE2CC2"/>
    <w:rsid w:val="00CE450B"/>
    <w:rsid w:val="00CE478D"/>
    <w:rsid w:val="00CF035A"/>
    <w:rsid w:val="00CF0431"/>
    <w:rsid w:val="00CF0D05"/>
    <w:rsid w:val="00CF299A"/>
    <w:rsid w:val="00CF2BDC"/>
    <w:rsid w:val="00CF55C0"/>
    <w:rsid w:val="00CF7453"/>
    <w:rsid w:val="00D01715"/>
    <w:rsid w:val="00D023E1"/>
    <w:rsid w:val="00D0266F"/>
    <w:rsid w:val="00D03BB4"/>
    <w:rsid w:val="00D04CC3"/>
    <w:rsid w:val="00D172AD"/>
    <w:rsid w:val="00D17D75"/>
    <w:rsid w:val="00D21D99"/>
    <w:rsid w:val="00D22622"/>
    <w:rsid w:val="00D23135"/>
    <w:rsid w:val="00D2340E"/>
    <w:rsid w:val="00D23982"/>
    <w:rsid w:val="00D25A71"/>
    <w:rsid w:val="00D25DBA"/>
    <w:rsid w:val="00D3268A"/>
    <w:rsid w:val="00D337E0"/>
    <w:rsid w:val="00D357E3"/>
    <w:rsid w:val="00D35F0C"/>
    <w:rsid w:val="00D36BBF"/>
    <w:rsid w:val="00D4054B"/>
    <w:rsid w:val="00D4425E"/>
    <w:rsid w:val="00D47998"/>
    <w:rsid w:val="00D516D6"/>
    <w:rsid w:val="00D63109"/>
    <w:rsid w:val="00D66020"/>
    <w:rsid w:val="00D666FA"/>
    <w:rsid w:val="00D704BA"/>
    <w:rsid w:val="00D713DC"/>
    <w:rsid w:val="00D72A04"/>
    <w:rsid w:val="00D73611"/>
    <w:rsid w:val="00D737E7"/>
    <w:rsid w:val="00D75A08"/>
    <w:rsid w:val="00D80920"/>
    <w:rsid w:val="00D82F31"/>
    <w:rsid w:val="00D974C2"/>
    <w:rsid w:val="00DA0AF0"/>
    <w:rsid w:val="00DA46E2"/>
    <w:rsid w:val="00DA73EA"/>
    <w:rsid w:val="00DC0CA8"/>
    <w:rsid w:val="00DC18EB"/>
    <w:rsid w:val="00DC625B"/>
    <w:rsid w:val="00DD2C2C"/>
    <w:rsid w:val="00DD3D41"/>
    <w:rsid w:val="00DD7EAB"/>
    <w:rsid w:val="00DE39E8"/>
    <w:rsid w:val="00DE3D19"/>
    <w:rsid w:val="00DF2B26"/>
    <w:rsid w:val="00DF2CFD"/>
    <w:rsid w:val="00DF43B1"/>
    <w:rsid w:val="00DF484C"/>
    <w:rsid w:val="00DF546B"/>
    <w:rsid w:val="00E0599F"/>
    <w:rsid w:val="00E06904"/>
    <w:rsid w:val="00E11E9E"/>
    <w:rsid w:val="00E20DA7"/>
    <w:rsid w:val="00E224E7"/>
    <w:rsid w:val="00E25D2A"/>
    <w:rsid w:val="00E30395"/>
    <w:rsid w:val="00E3243A"/>
    <w:rsid w:val="00E37C1C"/>
    <w:rsid w:val="00E4103C"/>
    <w:rsid w:val="00E41887"/>
    <w:rsid w:val="00E445D0"/>
    <w:rsid w:val="00E47DBE"/>
    <w:rsid w:val="00E52387"/>
    <w:rsid w:val="00E64B9A"/>
    <w:rsid w:val="00E67240"/>
    <w:rsid w:val="00E8150D"/>
    <w:rsid w:val="00E85A38"/>
    <w:rsid w:val="00E901AD"/>
    <w:rsid w:val="00E91894"/>
    <w:rsid w:val="00E9223A"/>
    <w:rsid w:val="00E923E8"/>
    <w:rsid w:val="00E97164"/>
    <w:rsid w:val="00EA3DE8"/>
    <w:rsid w:val="00EA4381"/>
    <w:rsid w:val="00EB242C"/>
    <w:rsid w:val="00EB3573"/>
    <w:rsid w:val="00EB67AF"/>
    <w:rsid w:val="00EB702A"/>
    <w:rsid w:val="00EC1CAB"/>
    <w:rsid w:val="00EC52C1"/>
    <w:rsid w:val="00EC554E"/>
    <w:rsid w:val="00ED7582"/>
    <w:rsid w:val="00EE6B5F"/>
    <w:rsid w:val="00EF2235"/>
    <w:rsid w:val="00EF467D"/>
    <w:rsid w:val="00F00E45"/>
    <w:rsid w:val="00F03A26"/>
    <w:rsid w:val="00F05914"/>
    <w:rsid w:val="00F07148"/>
    <w:rsid w:val="00F078DC"/>
    <w:rsid w:val="00F13275"/>
    <w:rsid w:val="00F13FFE"/>
    <w:rsid w:val="00F15AEF"/>
    <w:rsid w:val="00F1702B"/>
    <w:rsid w:val="00F17859"/>
    <w:rsid w:val="00F17B55"/>
    <w:rsid w:val="00F224E5"/>
    <w:rsid w:val="00F3614D"/>
    <w:rsid w:val="00F4088D"/>
    <w:rsid w:val="00F461E7"/>
    <w:rsid w:val="00F50F12"/>
    <w:rsid w:val="00F52F95"/>
    <w:rsid w:val="00F5506D"/>
    <w:rsid w:val="00F63A1F"/>
    <w:rsid w:val="00F65A67"/>
    <w:rsid w:val="00F70F89"/>
    <w:rsid w:val="00F71B08"/>
    <w:rsid w:val="00F71DC0"/>
    <w:rsid w:val="00F84E97"/>
    <w:rsid w:val="00F86164"/>
    <w:rsid w:val="00F86D59"/>
    <w:rsid w:val="00F9177D"/>
    <w:rsid w:val="00F95134"/>
    <w:rsid w:val="00F97BF3"/>
    <w:rsid w:val="00F97D89"/>
    <w:rsid w:val="00F97F0B"/>
    <w:rsid w:val="00FA02CB"/>
    <w:rsid w:val="00FA17BC"/>
    <w:rsid w:val="00FA49BF"/>
    <w:rsid w:val="00FA754C"/>
    <w:rsid w:val="00FB7597"/>
    <w:rsid w:val="00FC3218"/>
    <w:rsid w:val="00FC3529"/>
    <w:rsid w:val="00FC45CC"/>
    <w:rsid w:val="00FC4D4F"/>
    <w:rsid w:val="00FD374F"/>
    <w:rsid w:val="00FE1EC0"/>
    <w:rsid w:val="00FE3F31"/>
    <w:rsid w:val="00FE5C0A"/>
    <w:rsid w:val="00FF16A9"/>
    <w:rsid w:val="00FF2981"/>
    <w:rsid w:val="00FF3AFB"/>
    <w:rsid w:val="00FF486C"/>
    <w:rsid w:val="00FF73F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8EC779CE-A078-4EC0-B503-4C8CE2E55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A46"/>
  </w:style>
  <w:style w:type="paragraph" w:styleId="Titre1">
    <w:name w:val="heading 1"/>
    <w:basedOn w:val="Normal"/>
    <w:next w:val="Normal"/>
    <w:link w:val="Titre1Car"/>
    <w:uiPriority w:val="9"/>
    <w:qFormat/>
    <w:rsid w:val="008C7F3C"/>
    <w:pPr>
      <w:keepNext/>
      <w:spacing w:after="0" w:line="240" w:lineRule="auto"/>
      <w:jc w:val="center"/>
      <w:outlineLvl w:val="0"/>
    </w:pPr>
    <w:rPr>
      <w:rFonts w:ascii="Times New Roman" w:eastAsia="Times New Roman" w:hAnsi="Times New Roman" w:cs="Times New Roman"/>
      <w:b/>
      <w:bCs/>
      <w:sz w:val="24"/>
      <w:szCs w:val="24"/>
      <w:lang w:eastAsia="fr-FR"/>
    </w:rPr>
  </w:style>
  <w:style w:type="paragraph" w:styleId="Titre2">
    <w:name w:val="heading 2"/>
    <w:basedOn w:val="Normal"/>
    <w:next w:val="Normal"/>
    <w:link w:val="Titre2Car"/>
    <w:uiPriority w:val="1"/>
    <w:unhideWhenUsed/>
    <w:qFormat/>
    <w:rsid w:val="008C7F3C"/>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fr-CA"/>
    </w:rPr>
  </w:style>
  <w:style w:type="paragraph" w:styleId="Titre3">
    <w:name w:val="heading 3"/>
    <w:basedOn w:val="Normal"/>
    <w:next w:val="Normal"/>
    <w:link w:val="Titre3Car"/>
    <w:uiPriority w:val="1"/>
    <w:unhideWhenUsed/>
    <w:qFormat/>
    <w:rsid w:val="008C7F3C"/>
    <w:pPr>
      <w:keepNext/>
      <w:keepLines/>
      <w:spacing w:before="200" w:after="0" w:line="276" w:lineRule="auto"/>
      <w:outlineLvl w:val="2"/>
    </w:pPr>
    <w:rPr>
      <w:rFonts w:asciiTheme="majorHAnsi" w:eastAsiaTheme="majorEastAsia" w:hAnsiTheme="majorHAnsi" w:cstheme="majorBidi"/>
      <w:b/>
      <w:bCs/>
      <w:color w:val="5B9BD5" w:themeColor="accent1"/>
      <w:lang w:val="fr-CA"/>
    </w:rPr>
  </w:style>
  <w:style w:type="paragraph" w:styleId="Titre4">
    <w:name w:val="heading 4"/>
    <w:basedOn w:val="Normal"/>
    <w:next w:val="Normal"/>
    <w:link w:val="Titre4Car"/>
    <w:uiPriority w:val="1"/>
    <w:unhideWhenUsed/>
    <w:qFormat/>
    <w:rsid w:val="008C7F3C"/>
    <w:pPr>
      <w:keepNext/>
      <w:keepLines/>
      <w:spacing w:before="200" w:after="0" w:line="276" w:lineRule="auto"/>
      <w:outlineLvl w:val="3"/>
    </w:pPr>
    <w:rPr>
      <w:rFonts w:asciiTheme="majorHAnsi" w:eastAsiaTheme="majorEastAsia" w:hAnsiTheme="majorHAnsi" w:cstheme="majorBidi"/>
      <w:b/>
      <w:bCs/>
      <w:i/>
      <w:iCs/>
      <w:color w:val="5B9BD5" w:themeColor="accent1"/>
      <w:lang w:val="fr-CA"/>
    </w:rPr>
  </w:style>
  <w:style w:type="paragraph" w:styleId="Titre5">
    <w:name w:val="heading 5"/>
    <w:basedOn w:val="Normal"/>
    <w:next w:val="Normal"/>
    <w:link w:val="Titre5Car"/>
    <w:uiPriority w:val="1"/>
    <w:unhideWhenUsed/>
    <w:qFormat/>
    <w:rsid w:val="008C7F3C"/>
    <w:pPr>
      <w:keepNext/>
      <w:keepLines/>
      <w:spacing w:before="200" w:after="0" w:line="276" w:lineRule="auto"/>
      <w:outlineLvl w:val="4"/>
    </w:pPr>
    <w:rPr>
      <w:rFonts w:asciiTheme="majorHAnsi" w:eastAsiaTheme="majorEastAsia" w:hAnsiTheme="majorHAnsi" w:cstheme="majorBidi"/>
      <w:color w:val="1F4D78" w:themeColor="accent1" w:themeShade="7F"/>
      <w:lang w:val="fr-CA"/>
    </w:rPr>
  </w:style>
  <w:style w:type="paragraph" w:styleId="Titre6">
    <w:name w:val="heading 6"/>
    <w:basedOn w:val="Titre5"/>
    <w:next w:val="Normal"/>
    <w:link w:val="Titre6Car"/>
    <w:uiPriority w:val="1"/>
    <w:qFormat/>
    <w:rsid w:val="008C7F3C"/>
    <w:pPr>
      <w:keepLines w:val="0"/>
      <w:tabs>
        <w:tab w:val="num" w:pos="1440"/>
      </w:tabs>
      <w:suppressAutoHyphens/>
      <w:spacing w:before="60" w:after="240" w:line="230" w:lineRule="exact"/>
      <w:outlineLvl w:val="5"/>
    </w:pPr>
    <w:rPr>
      <w:rFonts w:ascii="Arial" w:eastAsia="MS Mincho" w:hAnsi="Arial" w:cs="Times New Roman"/>
      <w:b/>
      <w:color w:val="auto"/>
      <w:sz w:val="20"/>
      <w:szCs w:val="20"/>
      <w:lang w:val="fr-FR" w:eastAsia="fr-FR"/>
    </w:rPr>
  </w:style>
  <w:style w:type="paragraph" w:styleId="Titre7">
    <w:name w:val="heading 7"/>
    <w:basedOn w:val="Titre6"/>
    <w:next w:val="Normal"/>
    <w:link w:val="Titre7Car"/>
    <w:qFormat/>
    <w:rsid w:val="008C7F3C"/>
    <w:pPr>
      <w:outlineLvl w:val="6"/>
    </w:pPr>
  </w:style>
  <w:style w:type="paragraph" w:styleId="Titre8">
    <w:name w:val="heading 8"/>
    <w:basedOn w:val="Titre6"/>
    <w:next w:val="Normal"/>
    <w:link w:val="Titre8Car"/>
    <w:qFormat/>
    <w:rsid w:val="008C7F3C"/>
    <w:pPr>
      <w:tabs>
        <w:tab w:val="clear" w:pos="1440"/>
        <w:tab w:val="left" w:pos="1418"/>
        <w:tab w:val="num" w:pos="1800"/>
      </w:tabs>
      <w:outlineLvl w:val="7"/>
    </w:pPr>
  </w:style>
  <w:style w:type="paragraph" w:styleId="Titre9">
    <w:name w:val="heading 9"/>
    <w:basedOn w:val="Titre6"/>
    <w:next w:val="Normal"/>
    <w:link w:val="Titre9Car"/>
    <w:qFormat/>
    <w:rsid w:val="008C7F3C"/>
    <w:pPr>
      <w:tabs>
        <w:tab w:val="clear" w:pos="1440"/>
        <w:tab w:val="left" w:pos="1418"/>
        <w:tab w:val="num" w:pos="1800"/>
      </w:tabs>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CA6BDB"/>
    <w:pPr>
      <w:ind w:left="720"/>
      <w:contextualSpacing/>
    </w:pPr>
  </w:style>
  <w:style w:type="paragraph" w:styleId="Textedebulles">
    <w:name w:val="Balloon Text"/>
    <w:basedOn w:val="Normal"/>
    <w:link w:val="TextedebullesCar"/>
    <w:uiPriority w:val="99"/>
    <w:unhideWhenUsed/>
    <w:rsid w:val="007A15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A15EE"/>
    <w:rPr>
      <w:rFonts w:ascii="Tahoma" w:hAnsi="Tahoma" w:cs="Tahoma"/>
      <w:sz w:val="16"/>
      <w:szCs w:val="16"/>
    </w:rPr>
  </w:style>
  <w:style w:type="paragraph" w:styleId="En-tte">
    <w:name w:val="header"/>
    <w:basedOn w:val="Normal"/>
    <w:link w:val="En-tteCar"/>
    <w:unhideWhenUsed/>
    <w:rsid w:val="00A30054"/>
    <w:pPr>
      <w:tabs>
        <w:tab w:val="center" w:pos="4536"/>
        <w:tab w:val="right" w:pos="9072"/>
      </w:tabs>
      <w:spacing w:after="0" w:line="240" w:lineRule="auto"/>
    </w:pPr>
  </w:style>
  <w:style w:type="character" w:customStyle="1" w:styleId="En-tteCar">
    <w:name w:val="En-tête Car"/>
    <w:basedOn w:val="Policepardfaut"/>
    <w:link w:val="En-tte"/>
    <w:uiPriority w:val="99"/>
    <w:rsid w:val="00A30054"/>
  </w:style>
  <w:style w:type="paragraph" w:styleId="Pieddepage">
    <w:name w:val="footer"/>
    <w:basedOn w:val="Normal"/>
    <w:link w:val="PieddepageCar"/>
    <w:uiPriority w:val="99"/>
    <w:unhideWhenUsed/>
    <w:rsid w:val="00A3005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30054"/>
  </w:style>
  <w:style w:type="paragraph" w:styleId="Explorateurdedocuments">
    <w:name w:val="Document Map"/>
    <w:basedOn w:val="Normal"/>
    <w:link w:val="ExplorateurdedocumentsCar"/>
    <w:semiHidden/>
    <w:unhideWhenUsed/>
    <w:rsid w:val="00A30054"/>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semiHidden/>
    <w:rsid w:val="00A30054"/>
    <w:rPr>
      <w:rFonts w:ascii="Tahoma" w:hAnsi="Tahoma" w:cs="Tahoma"/>
      <w:sz w:val="16"/>
      <w:szCs w:val="16"/>
    </w:rPr>
  </w:style>
  <w:style w:type="character" w:customStyle="1" w:styleId="Titre1Car">
    <w:name w:val="Titre 1 Car"/>
    <w:basedOn w:val="Policepardfaut"/>
    <w:link w:val="Titre1"/>
    <w:uiPriority w:val="9"/>
    <w:rsid w:val="008C7F3C"/>
    <w:rPr>
      <w:rFonts w:ascii="Times New Roman" w:eastAsia="Times New Roman" w:hAnsi="Times New Roman" w:cs="Times New Roman"/>
      <w:b/>
      <w:bCs/>
      <w:sz w:val="24"/>
      <w:szCs w:val="24"/>
      <w:lang w:eastAsia="fr-FR"/>
    </w:rPr>
  </w:style>
  <w:style w:type="character" w:customStyle="1" w:styleId="Titre2Car">
    <w:name w:val="Titre 2 Car"/>
    <w:basedOn w:val="Policepardfaut"/>
    <w:link w:val="Titre2"/>
    <w:uiPriority w:val="1"/>
    <w:rsid w:val="008C7F3C"/>
    <w:rPr>
      <w:rFonts w:asciiTheme="majorHAnsi" w:eastAsiaTheme="majorEastAsia" w:hAnsiTheme="majorHAnsi" w:cstheme="majorBidi"/>
      <w:b/>
      <w:bCs/>
      <w:color w:val="5B9BD5" w:themeColor="accent1"/>
      <w:sz w:val="26"/>
      <w:szCs w:val="26"/>
      <w:lang w:val="fr-CA"/>
    </w:rPr>
  </w:style>
  <w:style w:type="character" w:customStyle="1" w:styleId="Titre3Car">
    <w:name w:val="Titre 3 Car"/>
    <w:basedOn w:val="Policepardfaut"/>
    <w:link w:val="Titre3"/>
    <w:uiPriority w:val="1"/>
    <w:rsid w:val="008C7F3C"/>
    <w:rPr>
      <w:rFonts w:asciiTheme="majorHAnsi" w:eastAsiaTheme="majorEastAsia" w:hAnsiTheme="majorHAnsi" w:cstheme="majorBidi"/>
      <w:b/>
      <w:bCs/>
      <w:color w:val="5B9BD5" w:themeColor="accent1"/>
      <w:lang w:val="fr-CA"/>
    </w:rPr>
  </w:style>
  <w:style w:type="character" w:customStyle="1" w:styleId="Titre4Car">
    <w:name w:val="Titre 4 Car"/>
    <w:basedOn w:val="Policepardfaut"/>
    <w:link w:val="Titre4"/>
    <w:uiPriority w:val="1"/>
    <w:rsid w:val="008C7F3C"/>
    <w:rPr>
      <w:rFonts w:asciiTheme="majorHAnsi" w:eastAsiaTheme="majorEastAsia" w:hAnsiTheme="majorHAnsi" w:cstheme="majorBidi"/>
      <w:b/>
      <w:bCs/>
      <w:i/>
      <w:iCs/>
      <w:color w:val="5B9BD5" w:themeColor="accent1"/>
      <w:lang w:val="fr-CA"/>
    </w:rPr>
  </w:style>
  <w:style w:type="character" w:customStyle="1" w:styleId="Titre5Car">
    <w:name w:val="Titre 5 Car"/>
    <w:basedOn w:val="Policepardfaut"/>
    <w:link w:val="Titre5"/>
    <w:uiPriority w:val="1"/>
    <w:rsid w:val="008C7F3C"/>
    <w:rPr>
      <w:rFonts w:asciiTheme="majorHAnsi" w:eastAsiaTheme="majorEastAsia" w:hAnsiTheme="majorHAnsi" w:cstheme="majorBidi"/>
      <w:color w:val="1F4D78" w:themeColor="accent1" w:themeShade="7F"/>
      <w:lang w:val="fr-CA"/>
    </w:rPr>
  </w:style>
  <w:style w:type="character" w:customStyle="1" w:styleId="Titre6Car">
    <w:name w:val="Titre 6 Car"/>
    <w:basedOn w:val="Policepardfaut"/>
    <w:link w:val="Titre6"/>
    <w:uiPriority w:val="1"/>
    <w:rsid w:val="008C7F3C"/>
    <w:rPr>
      <w:rFonts w:ascii="Arial" w:eastAsia="MS Mincho" w:hAnsi="Arial" w:cs="Times New Roman"/>
      <w:b/>
      <w:sz w:val="20"/>
      <w:szCs w:val="20"/>
      <w:lang w:eastAsia="fr-FR"/>
    </w:rPr>
  </w:style>
  <w:style w:type="character" w:customStyle="1" w:styleId="Titre7Car">
    <w:name w:val="Titre 7 Car"/>
    <w:basedOn w:val="Policepardfaut"/>
    <w:link w:val="Titre7"/>
    <w:rsid w:val="008C7F3C"/>
    <w:rPr>
      <w:rFonts w:ascii="Arial" w:eastAsia="MS Mincho" w:hAnsi="Arial" w:cs="Times New Roman"/>
      <w:b/>
      <w:sz w:val="20"/>
      <w:szCs w:val="20"/>
      <w:lang w:eastAsia="fr-FR"/>
    </w:rPr>
  </w:style>
  <w:style w:type="character" w:customStyle="1" w:styleId="Titre8Car">
    <w:name w:val="Titre 8 Car"/>
    <w:basedOn w:val="Policepardfaut"/>
    <w:link w:val="Titre8"/>
    <w:rsid w:val="008C7F3C"/>
    <w:rPr>
      <w:rFonts w:ascii="Arial" w:eastAsia="MS Mincho" w:hAnsi="Arial" w:cs="Times New Roman"/>
      <w:b/>
      <w:sz w:val="20"/>
      <w:szCs w:val="20"/>
      <w:lang w:eastAsia="fr-FR"/>
    </w:rPr>
  </w:style>
  <w:style w:type="character" w:customStyle="1" w:styleId="Titre9Car">
    <w:name w:val="Titre 9 Car"/>
    <w:basedOn w:val="Policepardfaut"/>
    <w:link w:val="Titre9"/>
    <w:rsid w:val="008C7F3C"/>
    <w:rPr>
      <w:rFonts w:ascii="Arial" w:eastAsia="MS Mincho" w:hAnsi="Arial" w:cs="Times New Roman"/>
      <w:b/>
      <w:sz w:val="20"/>
      <w:szCs w:val="20"/>
      <w:lang w:eastAsia="fr-FR"/>
    </w:rPr>
  </w:style>
  <w:style w:type="table" w:customStyle="1" w:styleId="TableNormal">
    <w:name w:val="Table Normal"/>
    <w:uiPriority w:val="2"/>
    <w:semiHidden/>
    <w:unhideWhenUsed/>
    <w:qFormat/>
    <w:rsid w:val="008C7F3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7F3C"/>
    <w:pPr>
      <w:widowControl w:val="0"/>
      <w:spacing w:after="0" w:line="240" w:lineRule="auto"/>
    </w:pPr>
    <w:rPr>
      <w:lang w:val="en-US"/>
    </w:rPr>
  </w:style>
  <w:style w:type="table" w:styleId="Grilledutableau">
    <w:name w:val="Table Grid"/>
    <w:basedOn w:val="TableauNormal"/>
    <w:rsid w:val="008C7F3C"/>
    <w:pPr>
      <w:spacing w:after="0" w:line="240" w:lineRule="auto"/>
    </w:pPr>
    <w:rPr>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8C7F3C"/>
    <w:rPr>
      <w:color w:val="0000FF"/>
      <w:u w:val="single"/>
    </w:rPr>
  </w:style>
  <w:style w:type="paragraph" w:customStyle="1" w:styleId="Default">
    <w:name w:val="Default"/>
    <w:uiPriority w:val="99"/>
    <w:rsid w:val="008C7F3C"/>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CM2">
    <w:name w:val="CM2"/>
    <w:basedOn w:val="Default"/>
    <w:next w:val="Default"/>
    <w:uiPriority w:val="99"/>
    <w:rsid w:val="008C7F3C"/>
    <w:pPr>
      <w:spacing w:line="266" w:lineRule="atLeast"/>
    </w:pPr>
    <w:rPr>
      <w:color w:val="auto"/>
    </w:rPr>
  </w:style>
  <w:style w:type="paragraph" w:customStyle="1" w:styleId="CM10">
    <w:name w:val="CM10"/>
    <w:basedOn w:val="Default"/>
    <w:next w:val="Default"/>
    <w:uiPriority w:val="99"/>
    <w:rsid w:val="008C7F3C"/>
    <w:pPr>
      <w:spacing w:after="395"/>
    </w:pPr>
    <w:rPr>
      <w:color w:val="auto"/>
    </w:rPr>
  </w:style>
  <w:style w:type="paragraph" w:customStyle="1" w:styleId="CM11">
    <w:name w:val="CM11"/>
    <w:basedOn w:val="Default"/>
    <w:next w:val="Default"/>
    <w:uiPriority w:val="99"/>
    <w:rsid w:val="008C7F3C"/>
    <w:pPr>
      <w:spacing w:after="268"/>
    </w:pPr>
    <w:rPr>
      <w:color w:val="auto"/>
    </w:rPr>
  </w:style>
  <w:style w:type="paragraph" w:customStyle="1" w:styleId="CM5">
    <w:name w:val="CM5"/>
    <w:basedOn w:val="Default"/>
    <w:next w:val="Default"/>
    <w:uiPriority w:val="99"/>
    <w:rsid w:val="008C7F3C"/>
    <w:rPr>
      <w:color w:val="auto"/>
    </w:rPr>
  </w:style>
  <w:style w:type="paragraph" w:customStyle="1" w:styleId="CM6">
    <w:name w:val="CM6"/>
    <w:basedOn w:val="Default"/>
    <w:next w:val="Default"/>
    <w:uiPriority w:val="99"/>
    <w:rsid w:val="008C7F3C"/>
    <w:rPr>
      <w:color w:val="auto"/>
    </w:rPr>
  </w:style>
  <w:style w:type="paragraph" w:customStyle="1" w:styleId="CM7">
    <w:name w:val="CM7"/>
    <w:basedOn w:val="Default"/>
    <w:next w:val="Default"/>
    <w:uiPriority w:val="99"/>
    <w:rsid w:val="008C7F3C"/>
    <w:pPr>
      <w:spacing w:line="271" w:lineRule="atLeast"/>
    </w:pPr>
    <w:rPr>
      <w:color w:val="auto"/>
    </w:rPr>
  </w:style>
  <w:style w:type="paragraph" w:customStyle="1" w:styleId="CM9">
    <w:name w:val="CM9"/>
    <w:basedOn w:val="Default"/>
    <w:next w:val="Default"/>
    <w:uiPriority w:val="99"/>
    <w:rsid w:val="008C7F3C"/>
    <w:pPr>
      <w:spacing w:line="266" w:lineRule="atLeast"/>
    </w:pPr>
    <w:rPr>
      <w:color w:val="auto"/>
    </w:rPr>
  </w:style>
  <w:style w:type="paragraph" w:customStyle="1" w:styleId="titre10">
    <w:name w:val="titre1"/>
    <w:basedOn w:val="Titre1"/>
    <w:rsid w:val="008C7F3C"/>
    <w:pPr>
      <w:spacing w:before="240" w:after="60"/>
      <w:jc w:val="left"/>
    </w:pPr>
    <w:rPr>
      <w:rFonts w:cs="Arial"/>
      <w:caps/>
      <w:kern w:val="32"/>
      <w:sz w:val="22"/>
      <w:szCs w:val="22"/>
    </w:rPr>
  </w:style>
  <w:style w:type="paragraph" w:customStyle="1" w:styleId="titre20">
    <w:name w:val="titre2"/>
    <w:basedOn w:val="Titre2"/>
    <w:rsid w:val="008C7F3C"/>
    <w:pPr>
      <w:keepLines w:val="0"/>
      <w:spacing w:before="0" w:line="240" w:lineRule="auto"/>
    </w:pPr>
    <w:rPr>
      <w:rFonts w:ascii="Times New Roman" w:eastAsia="Times New Roman" w:hAnsi="Times New Roman" w:cs="Arial"/>
      <w:iCs/>
      <w:color w:val="auto"/>
      <w:sz w:val="22"/>
      <w:szCs w:val="22"/>
      <w:lang w:val="fr-FR" w:eastAsia="fr-FR"/>
    </w:rPr>
  </w:style>
  <w:style w:type="paragraph" w:customStyle="1" w:styleId="textes">
    <w:name w:val="textes"/>
    <w:basedOn w:val="Normal"/>
    <w:rsid w:val="008C7F3C"/>
    <w:pPr>
      <w:spacing w:after="0" w:line="240" w:lineRule="auto"/>
      <w:jc w:val="both"/>
    </w:pPr>
    <w:rPr>
      <w:rFonts w:ascii="Times New Roman" w:eastAsia="Times New Roman" w:hAnsi="Times New Roman" w:cs="Times New Roman"/>
      <w:bCs/>
      <w:lang w:eastAsia="fr-FR"/>
    </w:rPr>
  </w:style>
  <w:style w:type="paragraph" w:customStyle="1" w:styleId="titre30">
    <w:name w:val="titre3"/>
    <w:basedOn w:val="titre20"/>
    <w:rsid w:val="008C7F3C"/>
  </w:style>
  <w:style w:type="paragraph" w:styleId="Retraitcorpsdetexte">
    <w:name w:val="Body Text Indent"/>
    <w:basedOn w:val="Normal"/>
    <w:link w:val="RetraitcorpsdetexteCar"/>
    <w:rsid w:val="008C7F3C"/>
    <w:pPr>
      <w:spacing w:after="0" w:line="240" w:lineRule="auto"/>
      <w:ind w:right="-83" w:firstLine="705"/>
      <w:jc w:val="both"/>
    </w:pPr>
    <w:rPr>
      <w:rFonts w:ascii="Times New Roman" w:eastAsia="Times New Roman" w:hAnsi="Times New Roman" w:cs="Times New Roman"/>
      <w:bCs/>
      <w:sz w:val="24"/>
      <w:szCs w:val="24"/>
    </w:rPr>
  </w:style>
  <w:style w:type="character" w:customStyle="1" w:styleId="RetraitcorpsdetexteCar">
    <w:name w:val="Retrait corps de texte Car"/>
    <w:basedOn w:val="Policepardfaut"/>
    <w:link w:val="Retraitcorpsdetexte"/>
    <w:rsid w:val="008C7F3C"/>
    <w:rPr>
      <w:rFonts w:ascii="Times New Roman" w:eastAsia="Times New Roman" w:hAnsi="Times New Roman" w:cs="Times New Roman"/>
      <w:bCs/>
      <w:sz w:val="24"/>
      <w:szCs w:val="24"/>
    </w:rPr>
  </w:style>
  <w:style w:type="paragraph" w:styleId="Corpsdetexte">
    <w:name w:val="Body Text"/>
    <w:basedOn w:val="Normal"/>
    <w:link w:val="CorpsdetexteCar"/>
    <w:uiPriority w:val="1"/>
    <w:unhideWhenUsed/>
    <w:qFormat/>
    <w:rsid w:val="008C7F3C"/>
    <w:pPr>
      <w:spacing w:after="120" w:line="276" w:lineRule="auto"/>
    </w:pPr>
    <w:rPr>
      <w:lang w:val="fr-CA"/>
    </w:rPr>
  </w:style>
  <w:style w:type="character" w:customStyle="1" w:styleId="CorpsdetexteCar">
    <w:name w:val="Corps de texte Car"/>
    <w:basedOn w:val="Policepardfaut"/>
    <w:link w:val="Corpsdetexte"/>
    <w:uiPriority w:val="1"/>
    <w:rsid w:val="008C7F3C"/>
    <w:rPr>
      <w:lang w:val="fr-CA"/>
    </w:rPr>
  </w:style>
  <w:style w:type="paragraph" w:customStyle="1" w:styleId="a2">
    <w:name w:val="a2"/>
    <w:basedOn w:val="Titre2"/>
    <w:next w:val="Normal"/>
    <w:rsid w:val="008C7F3C"/>
    <w:pPr>
      <w:keepLines w:val="0"/>
      <w:numPr>
        <w:ilvl w:val="1"/>
        <w:numId w:val="22"/>
      </w:numPr>
      <w:tabs>
        <w:tab w:val="left" w:pos="500"/>
        <w:tab w:val="left" w:pos="720"/>
      </w:tabs>
      <w:suppressAutoHyphens/>
      <w:spacing w:before="270" w:after="240" w:line="270" w:lineRule="exact"/>
    </w:pPr>
    <w:rPr>
      <w:rFonts w:ascii="Arial" w:eastAsia="MS Mincho" w:hAnsi="Arial" w:cs="Times New Roman"/>
      <w:bCs w:val="0"/>
      <w:color w:val="auto"/>
      <w:sz w:val="24"/>
      <w:szCs w:val="20"/>
      <w:lang w:val="fr-FR" w:eastAsia="fr-FR"/>
    </w:rPr>
  </w:style>
  <w:style w:type="paragraph" w:customStyle="1" w:styleId="a3">
    <w:name w:val="a3"/>
    <w:basedOn w:val="Titre3"/>
    <w:next w:val="Normal"/>
    <w:rsid w:val="008C7F3C"/>
    <w:pPr>
      <w:keepLines w:val="0"/>
      <w:numPr>
        <w:ilvl w:val="2"/>
        <w:numId w:val="22"/>
      </w:numPr>
      <w:tabs>
        <w:tab w:val="left" w:pos="640"/>
        <w:tab w:val="left" w:pos="880"/>
      </w:tabs>
      <w:suppressAutoHyphens/>
      <w:spacing w:before="60" w:after="240" w:line="250" w:lineRule="exact"/>
    </w:pPr>
    <w:rPr>
      <w:rFonts w:ascii="Arial" w:eastAsia="MS Mincho" w:hAnsi="Arial" w:cs="Times New Roman"/>
      <w:bCs w:val="0"/>
      <w:color w:val="auto"/>
      <w:szCs w:val="20"/>
      <w:lang w:val="fr-FR" w:eastAsia="fr-FR"/>
    </w:rPr>
  </w:style>
  <w:style w:type="paragraph" w:customStyle="1" w:styleId="a4">
    <w:name w:val="a4"/>
    <w:basedOn w:val="Titre4"/>
    <w:next w:val="Normal"/>
    <w:rsid w:val="008C7F3C"/>
    <w:pPr>
      <w:keepLines w:val="0"/>
      <w:numPr>
        <w:ilvl w:val="3"/>
        <w:numId w:val="22"/>
      </w:numPr>
      <w:tabs>
        <w:tab w:val="left" w:pos="880"/>
      </w:tabs>
      <w:suppressAutoHyphens/>
      <w:spacing w:before="60" w:after="240" w:line="230" w:lineRule="exact"/>
    </w:pPr>
    <w:rPr>
      <w:rFonts w:ascii="Arial" w:eastAsia="MS Mincho" w:hAnsi="Arial" w:cs="Times New Roman"/>
      <w:bCs w:val="0"/>
      <w:i w:val="0"/>
      <w:iCs w:val="0"/>
      <w:color w:val="auto"/>
      <w:sz w:val="20"/>
      <w:szCs w:val="20"/>
      <w:lang w:val="fr-FR" w:eastAsia="fr-FR"/>
    </w:rPr>
  </w:style>
  <w:style w:type="paragraph" w:customStyle="1" w:styleId="a5">
    <w:name w:val="a5"/>
    <w:basedOn w:val="Titre5"/>
    <w:next w:val="Normal"/>
    <w:rsid w:val="008C7F3C"/>
    <w:pPr>
      <w:keepLines w:val="0"/>
      <w:numPr>
        <w:ilvl w:val="4"/>
        <w:numId w:val="22"/>
      </w:numPr>
      <w:tabs>
        <w:tab w:val="left" w:pos="1140"/>
        <w:tab w:val="left" w:pos="1360"/>
      </w:tabs>
      <w:suppressAutoHyphens/>
      <w:spacing w:before="60" w:after="240" w:line="230" w:lineRule="exact"/>
    </w:pPr>
    <w:rPr>
      <w:rFonts w:ascii="Arial" w:eastAsia="MS Mincho" w:hAnsi="Arial" w:cs="Times New Roman"/>
      <w:b/>
      <w:color w:val="auto"/>
      <w:sz w:val="20"/>
      <w:szCs w:val="20"/>
      <w:lang w:val="fr-FR" w:eastAsia="fr-FR"/>
    </w:rPr>
  </w:style>
  <w:style w:type="paragraph" w:customStyle="1" w:styleId="a6">
    <w:name w:val="a6"/>
    <w:basedOn w:val="Titre6"/>
    <w:next w:val="Normal"/>
    <w:rsid w:val="008C7F3C"/>
    <w:pPr>
      <w:numPr>
        <w:ilvl w:val="5"/>
        <w:numId w:val="22"/>
      </w:numPr>
      <w:tabs>
        <w:tab w:val="left" w:pos="1140"/>
        <w:tab w:val="left" w:pos="1360"/>
      </w:tabs>
    </w:pPr>
  </w:style>
  <w:style w:type="character" w:styleId="Accentuation">
    <w:name w:val="Emphasis"/>
    <w:qFormat/>
    <w:rsid w:val="008C7F3C"/>
    <w:rPr>
      <w:i/>
      <w:noProof w:val="0"/>
      <w:lang w:val="fr-FR"/>
    </w:rPr>
  </w:style>
  <w:style w:type="paragraph" w:styleId="Adressedestinataire">
    <w:name w:val="envelope address"/>
    <w:basedOn w:val="Normal"/>
    <w:rsid w:val="008C7F3C"/>
    <w:pPr>
      <w:framePr w:w="7938" w:h="1985" w:hRule="exact" w:hSpace="141" w:wrap="auto" w:hAnchor="page" w:xAlign="center" w:yAlign="bottom"/>
      <w:spacing w:after="240" w:line="230" w:lineRule="atLeast"/>
      <w:ind w:left="2835"/>
      <w:jc w:val="both"/>
    </w:pPr>
    <w:rPr>
      <w:rFonts w:ascii="Arial" w:eastAsia="MS Mincho" w:hAnsi="Arial" w:cs="Times New Roman"/>
      <w:sz w:val="24"/>
      <w:szCs w:val="20"/>
      <w:lang w:eastAsia="fr-FR"/>
    </w:rPr>
  </w:style>
  <w:style w:type="paragraph" w:styleId="Adresseexpditeur">
    <w:name w:val="envelope return"/>
    <w:basedOn w:val="Normal"/>
    <w:rsid w:val="008C7F3C"/>
    <w:pPr>
      <w:spacing w:after="240" w:line="230" w:lineRule="atLeast"/>
      <w:jc w:val="both"/>
    </w:pPr>
    <w:rPr>
      <w:rFonts w:ascii="Arial" w:eastAsia="MS Mincho" w:hAnsi="Arial" w:cs="Times New Roman"/>
      <w:sz w:val="20"/>
      <w:szCs w:val="20"/>
      <w:lang w:eastAsia="fr-FR"/>
    </w:rPr>
  </w:style>
  <w:style w:type="paragraph" w:customStyle="1" w:styleId="ANNEX">
    <w:name w:val="ANNEX"/>
    <w:basedOn w:val="Normal"/>
    <w:next w:val="Normal"/>
    <w:rsid w:val="008C7F3C"/>
    <w:pPr>
      <w:keepNext/>
      <w:pageBreakBefore/>
      <w:numPr>
        <w:numId w:val="22"/>
      </w:numPr>
      <w:spacing w:after="760" w:line="310" w:lineRule="exact"/>
      <w:jc w:val="center"/>
      <w:outlineLvl w:val="0"/>
    </w:pPr>
    <w:rPr>
      <w:rFonts w:ascii="Arial" w:eastAsia="MS Mincho" w:hAnsi="Arial" w:cs="Times New Roman"/>
      <w:b/>
      <w:sz w:val="28"/>
      <w:szCs w:val="20"/>
      <w:lang w:eastAsia="fr-FR"/>
    </w:rPr>
  </w:style>
  <w:style w:type="paragraph" w:customStyle="1" w:styleId="ANNEXN">
    <w:name w:val="ANNEXN"/>
    <w:basedOn w:val="ANNEX"/>
    <w:next w:val="Normal"/>
    <w:rsid w:val="008C7F3C"/>
    <w:pPr>
      <w:numPr>
        <w:numId w:val="33"/>
      </w:numPr>
    </w:pPr>
  </w:style>
  <w:style w:type="paragraph" w:customStyle="1" w:styleId="ANNEXZ">
    <w:name w:val="ANNEXZ"/>
    <w:basedOn w:val="ANNEX"/>
    <w:next w:val="Normal"/>
    <w:rsid w:val="008C7F3C"/>
    <w:pPr>
      <w:numPr>
        <w:numId w:val="23"/>
      </w:numPr>
    </w:pPr>
  </w:style>
  <w:style w:type="character" w:styleId="Appeldenotedefin">
    <w:name w:val="endnote reference"/>
    <w:semiHidden/>
    <w:rsid w:val="008C7F3C"/>
    <w:rPr>
      <w:noProof w:val="0"/>
      <w:vertAlign w:val="superscript"/>
      <w:lang w:val="fr-FR"/>
    </w:rPr>
  </w:style>
  <w:style w:type="character" w:styleId="Appelnotedebasdep">
    <w:name w:val="footnote reference"/>
    <w:aliases w:val="ftref,16 Point,Superscript 6 Point"/>
    <w:uiPriority w:val="99"/>
    <w:semiHidden/>
    <w:rsid w:val="008C7F3C"/>
    <w:rPr>
      <w:noProof/>
      <w:position w:val="6"/>
      <w:sz w:val="16"/>
      <w:vertAlign w:val="baseline"/>
      <w:lang w:val="fr-FR"/>
    </w:rPr>
  </w:style>
  <w:style w:type="paragraph" w:customStyle="1" w:styleId="Bibliographie1">
    <w:name w:val="Bibliographie1"/>
    <w:basedOn w:val="Normal"/>
    <w:rsid w:val="008C7F3C"/>
    <w:pPr>
      <w:numPr>
        <w:numId w:val="24"/>
      </w:numPr>
      <w:tabs>
        <w:tab w:val="left" w:pos="660"/>
      </w:tabs>
      <w:spacing w:after="240" w:line="230" w:lineRule="atLeast"/>
      <w:jc w:val="both"/>
    </w:pPr>
    <w:rPr>
      <w:rFonts w:ascii="Arial" w:eastAsia="MS Mincho" w:hAnsi="Arial" w:cs="Times New Roman"/>
      <w:sz w:val="20"/>
      <w:szCs w:val="20"/>
      <w:lang w:eastAsia="fr-FR"/>
    </w:rPr>
  </w:style>
  <w:style w:type="paragraph" w:styleId="Commentaire">
    <w:name w:val="annotation text"/>
    <w:basedOn w:val="Normal"/>
    <w:link w:val="CommentaireCar"/>
    <w:uiPriority w:val="99"/>
    <w:semiHidden/>
    <w:rsid w:val="008C7F3C"/>
    <w:pPr>
      <w:spacing w:after="240" w:line="230" w:lineRule="atLeast"/>
      <w:jc w:val="both"/>
    </w:pPr>
    <w:rPr>
      <w:rFonts w:ascii="Arial" w:eastAsia="MS Mincho" w:hAnsi="Arial" w:cs="Times New Roman"/>
      <w:sz w:val="20"/>
      <w:szCs w:val="20"/>
      <w:lang w:eastAsia="fr-FR"/>
    </w:rPr>
  </w:style>
  <w:style w:type="character" w:customStyle="1" w:styleId="CommentaireCar">
    <w:name w:val="Commentaire Car"/>
    <w:basedOn w:val="Policepardfaut"/>
    <w:link w:val="Commentaire"/>
    <w:uiPriority w:val="99"/>
    <w:semiHidden/>
    <w:rsid w:val="008C7F3C"/>
    <w:rPr>
      <w:rFonts w:ascii="Arial" w:eastAsia="MS Mincho" w:hAnsi="Arial" w:cs="Times New Roman"/>
      <w:sz w:val="20"/>
      <w:szCs w:val="20"/>
      <w:lang w:eastAsia="fr-FR"/>
    </w:rPr>
  </w:style>
  <w:style w:type="paragraph" w:styleId="Corpsdetexte2">
    <w:name w:val="Body Text 2"/>
    <w:basedOn w:val="Normal"/>
    <w:link w:val="Corpsdetexte2Car"/>
    <w:rsid w:val="008C7F3C"/>
    <w:pPr>
      <w:spacing w:before="60" w:after="60" w:line="190" w:lineRule="atLeast"/>
      <w:jc w:val="both"/>
    </w:pPr>
    <w:rPr>
      <w:rFonts w:ascii="Arial" w:eastAsia="MS Mincho" w:hAnsi="Arial" w:cs="Times New Roman"/>
      <w:sz w:val="16"/>
      <w:szCs w:val="20"/>
      <w:lang w:eastAsia="fr-FR"/>
    </w:rPr>
  </w:style>
  <w:style w:type="character" w:customStyle="1" w:styleId="Corpsdetexte2Car">
    <w:name w:val="Corps de texte 2 Car"/>
    <w:basedOn w:val="Policepardfaut"/>
    <w:link w:val="Corpsdetexte2"/>
    <w:rsid w:val="008C7F3C"/>
    <w:rPr>
      <w:rFonts w:ascii="Arial" w:eastAsia="MS Mincho" w:hAnsi="Arial" w:cs="Times New Roman"/>
      <w:sz w:val="16"/>
      <w:szCs w:val="20"/>
      <w:lang w:eastAsia="fr-FR"/>
    </w:rPr>
  </w:style>
  <w:style w:type="paragraph" w:styleId="Corpsdetexte3">
    <w:name w:val="Body Text 3"/>
    <w:basedOn w:val="Normal"/>
    <w:link w:val="Corpsdetexte3Car"/>
    <w:rsid w:val="008C7F3C"/>
    <w:pPr>
      <w:spacing w:before="60" w:after="60" w:line="170" w:lineRule="atLeast"/>
      <w:jc w:val="both"/>
    </w:pPr>
    <w:rPr>
      <w:rFonts w:ascii="Arial" w:eastAsia="MS Mincho" w:hAnsi="Arial" w:cs="Times New Roman"/>
      <w:sz w:val="14"/>
      <w:szCs w:val="20"/>
      <w:lang w:eastAsia="fr-FR"/>
    </w:rPr>
  </w:style>
  <w:style w:type="character" w:customStyle="1" w:styleId="Corpsdetexte3Car">
    <w:name w:val="Corps de texte 3 Car"/>
    <w:basedOn w:val="Policepardfaut"/>
    <w:link w:val="Corpsdetexte3"/>
    <w:rsid w:val="008C7F3C"/>
    <w:rPr>
      <w:rFonts w:ascii="Arial" w:eastAsia="MS Mincho" w:hAnsi="Arial" w:cs="Times New Roman"/>
      <w:sz w:val="14"/>
      <w:szCs w:val="20"/>
      <w:lang w:eastAsia="fr-FR"/>
    </w:rPr>
  </w:style>
  <w:style w:type="paragraph" w:styleId="Date">
    <w:name w:val="Date"/>
    <w:basedOn w:val="Normal"/>
    <w:next w:val="Normal"/>
    <w:link w:val="DateCar"/>
    <w:rsid w:val="008C7F3C"/>
    <w:pPr>
      <w:spacing w:after="240" w:line="230" w:lineRule="atLeast"/>
      <w:jc w:val="both"/>
    </w:pPr>
    <w:rPr>
      <w:rFonts w:ascii="Arial" w:eastAsia="MS Mincho" w:hAnsi="Arial" w:cs="Times New Roman"/>
      <w:sz w:val="20"/>
      <w:szCs w:val="20"/>
      <w:lang w:eastAsia="fr-FR"/>
    </w:rPr>
  </w:style>
  <w:style w:type="character" w:customStyle="1" w:styleId="DateCar">
    <w:name w:val="Date Car"/>
    <w:basedOn w:val="Policepardfaut"/>
    <w:link w:val="Date"/>
    <w:rsid w:val="008C7F3C"/>
    <w:rPr>
      <w:rFonts w:ascii="Arial" w:eastAsia="MS Mincho" w:hAnsi="Arial" w:cs="Times New Roman"/>
      <w:sz w:val="20"/>
      <w:szCs w:val="20"/>
      <w:lang w:eastAsia="fr-FR"/>
    </w:rPr>
  </w:style>
  <w:style w:type="paragraph" w:customStyle="1" w:styleId="Definition">
    <w:name w:val="Definition"/>
    <w:basedOn w:val="Normal"/>
    <w:next w:val="Normal"/>
    <w:rsid w:val="008C7F3C"/>
    <w:pPr>
      <w:spacing w:after="240" w:line="230" w:lineRule="atLeast"/>
      <w:jc w:val="both"/>
    </w:pPr>
    <w:rPr>
      <w:rFonts w:ascii="Arial" w:eastAsia="MS Mincho" w:hAnsi="Arial" w:cs="Times New Roman"/>
      <w:sz w:val="20"/>
      <w:szCs w:val="20"/>
      <w:lang w:eastAsia="fr-FR"/>
    </w:rPr>
  </w:style>
  <w:style w:type="character" w:customStyle="1" w:styleId="Defterms">
    <w:name w:val="Defterms"/>
    <w:rsid w:val="008C7F3C"/>
    <w:rPr>
      <w:noProof/>
      <w:color w:val="auto"/>
      <w:lang w:val="fr-FR"/>
    </w:rPr>
  </w:style>
  <w:style w:type="paragraph" w:customStyle="1" w:styleId="dl">
    <w:name w:val="dl"/>
    <w:basedOn w:val="Normal"/>
    <w:rsid w:val="008C7F3C"/>
    <w:pPr>
      <w:spacing w:after="240" w:line="230" w:lineRule="atLeast"/>
      <w:ind w:left="800" w:hanging="400"/>
      <w:jc w:val="both"/>
    </w:pPr>
    <w:rPr>
      <w:rFonts w:ascii="Arial" w:eastAsia="MS Mincho" w:hAnsi="Arial" w:cs="Times New Roman"/>
      <w:sz w:val="20"/>
      <w:szCs w:val="20"/>
      <w:lang w:eastAsia="fr-FR"/>
    </w:rPr>
  </w:style>
  <w:style w:type="character" w:styleId="lev">
    <w:name w:val="Strong"/>
    <w:qFormat/>
    <w:rsid w:val="008C7F3C"/>
    <w:rPr>
      <w:b/>
      <w:noProof w:val="0"/>
      <w:lang w:val="fr-FR"/>
    </w:rPr>
  </w:style>
  <w:style w:type="paragraph" w:styleId="En-ttedemessage">
    <w:name w:val="Message Header"/>
    <w:basedOn w:val="Normal"/>
    <w:link w:val="En-ttedemessageCar"/>
    <w:rsid w:val="008C7F3C"/>
    <w:pPr>
      <w:pBdr>
        <w:top w:val="single" w:sz="6" w:space="1" w:color="auto"/>
        <w:left w:val="single" w:sz="6" w:space="1" w:color="auto"/>
        <w:bottom w:val="single" w:sz="6" w:space="1" w:color="auto"/>
        <w:right w:val="single" w:sz="6" w:space="1" w:color="auto"/>
      </w:pBdr>
      <w:shd w:val="pct20" w:color="auto" w:fill="auto"/>
      <w:spacing w:after="240" w:line="230" w:lineRule="atLeast"/>
      <w:ind w:left="1134" w:hanging="1134"/>
      <w:jc w:val="both"/>
    </w:pPr>
    <w:rPr>
      <w:rFonts w:ascii="Arial" w:eastAsia="MS Mincho" w:hAnsi="Arial" w:cs="Times New Roman"/>
      <w:sz w:val="24"/>
      <w:szCs w:val="20"/>
      <w:lang w:eastAsia="fr-FR"/>
    </w:rPr>
  </w:style>
  <w:style w:type="character" w:customStyle="1" w:styleId="En-ttedemessageCar">
    <w:name w:val="En-tête de message Car"/>
    <w:basedOn w:val="Policepardfaut"/>
    <w:link w:val="En-ttedemessage"/>
    <w:rsid w:val="008C7F3C"/>
    <w:rPr>
      <w:rFonts w:ascii="Arial" w:eastAsia="MS Mincho" w:hAnsi="Arial" w:cs="Times New Roman"/>
      <w:sz w:val="24"/>
      <w:szCs w:val="20"/>
      <w:shd w:val="pct20" w:color="auto" w:fill="auto"/>
      <w:lang w:eastAsia="fr-FR"/>
    </w:rPr>
  </w:style>
  <w:style w:type="paragraph" w:customStyle="1" w:styleId="Example">
    <w:name w:val="Example"/>
    <w:basedOn w:val="Normal"/>
    <w:next w:val="Normal"/>
    <w:rsid w:val="008C7F3C"/>
    <w:pPr>
      <w:tabs>
        <w:tab w:val="left" w:pos="1360"/>
      </w:tabs>
      <w:spacing w:after="240" w:line="210" w:lineRule="atLeast"/>
      <w:jc w:val="both"/>
    </w:pPr>
    <w:rPr>
      <w:rFonts w:ascii="Arial" w:eastAsia="MS Mincho" w:hAnsi="Arial" w:cs="Times New Roman"/>
      <w:sz w:val="18"/>
      <w:szCs w:val="20"/>
      <w:lang w:eastAsia="fr-FR"/>
    </w:rPr>
  </w:style>
  <w:style w:type="character" w:customStyle="1" w:styleId="ExtXref">
    <w:name w:val="ExtXref"/>
    <w:rsid w:val="008C7F3C"/>
    <w:rPr>
      <w:noProof/>
      <w:color w:val="auto"/>
      <w:lang w:val="fr-FR"/>
    </w:rPr>
  </w:style>
  <w:style w:type="paragraph" w:customStyle="1" w:styleId="Figurefootnote">
    <w:name w:val="Figure footnote"/>
    <w:basedOn w:val="Normal"/>
    <w:rsid w:val="008C7F3C"/>
    <w:pPr>
      <w:keepNext/>
      <w:tabs>
        <w:tab w:val="left" w:pos="340"/>
      </w:tabs>
      <w:spacing w:after="60" w:line="210" w:lineRule="atLeast"/>
      <w:jc w:val="both"/>
    </w:pPr>
    <w:rPr>
      <w:rFonts w:ascii="Arial" w:eastAsia="MS Mincho" w:hAnsi="Arial" w:cs="Times New Roman"/>
      <w:sz w:val="18"/>
      <w:szCs w:val="20"/>
      <w:lang w:eastAsia="fr-FR"/>
    </w:rPr>
  </w:style>
  <w:style w:type="paragraph" w:customStyle="1" w:styleId="Figuretitle">
    <w:name w:val="Figure title"/>
    <w:basedOn w:val="Normal"/>
    <w:next w:val="Normal"/>
    <w:rsid w:val="008C7F3C"/>
    <w:pPr>
      <w:suppressAutoHyphens/>
      <w:spacing w:before="220" w:after="220" w:line="230" w:lineRule="atLeast"/>
      <w:jc w:val="center"/>
    </w:pPr>
    <w:rPr>
      <w:rFonts w:ascii="Arial" w:eastAsia="MS Mincho" w:hAnsi="Arial" w:cs="Times New Roman"/>
      <w:b/>
      <w:sz w:val="20"/>
      <w:szCs w:val="20"/>
      <w:lang w:eastAsia="fr-FR"/>
    </w:rPr>
  </w:style>
  <w:style w:type="paragraph" w:customStyle="1" w:styleId="Foreword">
    <w:name w:val="Foreword"/>
    <w:basedOn w:val="Normal"/>
    <w:next w:val="Normal"/>
    <w:rsid w:val="008C7F3C"/>
    <w:pPr>
      <w:spacing w:after="240" w:line="230" w:lineRule="atLeast"/>
      <w:jc w:val="both"/>
    </w:pPr>
    <w:rPr>
      <w:rFonts w:ascii="Arial" w:eastAsia="MS Mincho" w:hAnsi="Arial" w:cs="Times New Roman"/>
      <w:color w:val="0000FF"/>
      <w:sz w:val="20"/>
      <w:szCs w:val="20"/>
      <w:lang w:eastAsia="fr-FR"/>
    </w:rPr>
  </w:style>
  <w:style w:type="paragraph" w:customStyle="1" w:styleId="Formula">
    <w:name w:val="Formula"/>
    <w:basedOn w:val="Normal"/>
    <w:next w:val="Normal"/>
    <w:rsid w:val="008C7F3C"/>
    <w:pPr>
      <w:tabs>
        <w:tab w:val="right" w:pos="9752"/>
      </w:tabs>
      <w:spacing w:after="220" w:line="230" w:lineRule="atLeast"/>
      <w:ind w:left="403"/>
    </w:pPr>
    <w:rPr>
      <w:rFonts w:ascii="Arial" w:eastAsia="MS Mincho" w:hAnsi="Arial" w:cs="Times New Roman"/>
      <w:sz w:val="20"/>
      <w:szCs w:val="20"/>
      <w:lang w:eastAsia="fr-FR"/>
    </w:rPr>
  </w:style>
  <w:style w:type="paragraph" w:styleId="Formuledepolitesse">
    <w:name w:val="Closing"/>
    <w:basedOn w:val="Normal"/>
    <w:link w:val="FormuledepolitesseCar"/>
    <w:rsid w:val="008C7F3C"/>
    <w:pPr>
      <w:spacing w:after="240" w:line="230" w:lineRule="atLeast"/>
      <w:ind w:left="4252"/>
      <w:jc w:val="both"/>
    </w:pPr>
    <w:rPr>
      <w:rFonts w:ascii="Arial" w:eastAsia="MS Mincho" w:hAnsi="Arial" w:cs="Times New Roman"/>
      <w:sz w:val="20"/>
      <w:szCs w:val="20"/>
      <w:lang w:eastAsia="fr-FR"/>
    </w:rPr>
  </w:style>
  <w:style w:type="character" w:customStyle="1" w:styleId="FormuledepolitesseCar">
    <w:name w:val="Formule de politesse Car"/>
    <w:basedOn w:val="Policepardfaut"/>
    <w:link w:val="Formuledepolitesse"/>
    <w:rsid w:val="008C7F3C"/>
    <w:rPr>
      <w:rFonts w:ascii="Arial" w:eastAsia="MS Mincho" w:hAnsi="Arial" w:cs="Times New Roman"/>
      <w:sz w:val="20"/>
      <w:szCs w:val="20"/>
      <w:lang w:eastAsia="fr-FR"/>
    </w:rPr>
  </w:style>
  <w:style w:type="paragraph" w:styleId="Index1">
    <w:name w:val="index 1"/>
    <w:basedOn w:val="Normal"/>
    <w:semiHidden/>
    <w:rsid w:val="008C7F3C"/>
    <w:pPr>
      <w:spacing w:after="0" w:line="210" w:lineRule="atLeast"/>
      <w:ind w:left="142" w:hanging="142"/>
    </w:pPr>
    <w:rPr>
      <w:rFonts w:ascii="Arial" w:eastAsia="MS Mincho" w:hAnsi="Arial" w:cs="Times New Roman"/>
      <w:b/>
      <w:sz w:val="18"/>
      <w:szCs w:val="20"/>
      <w:lang w:eastAsia="fr-FR"/>
    </w:rPr>
  </w:style>
  <w:style w:type="paragraph" w:styleId="Index2">
    <w:name w:val="index 2"/>
    <w:basedOn w:val="Normal"/>
    <w:next w:val="Normal"/>
    <w:autoRedefine/>
    <w:semiHidden/>
    <w:rsid w:val="008C7F3C"/>
    <w:pPr>
      <w:spacing w:after="240" w:line="210" w:lineRule="atLeast"/>
      <w:ind w:left="600" w:hanging="200"/>
      <w:jc w:val="both"/>
    </w:pPr>
    <w:rPr>
      <w:rFonts w:ascii="Arial" w:eastAsia="MS Mincho" w:hAnsi="Arial" w:cs="Times New Roman"/>
      <w:b/>
      <w:sz w:val="18"/>
      <w:szCs w:val="20"/>
      <w:lang w:eastAsia="fr-FR"/>
    </w:rPr>
  </w:style>
  <w:style w:type="paragraph" w:styleId="Index3">
    <w:name w:val="index 3"/>
    <w:basedOn w:val="Normal"/>
    <w:next w:val="Normal"/>
    <w:autoRedefine/>
    <w:semiHidden/>
    <w:rsid w:val="008C7F3C"/>
    <w:pPr>
      <w:spacing w:after="240" w:line="220" w:lineRule="atLeast"/>
      <w:ind w:left="600" w:hanging="200"/>
      <w:jc w:val="both"/>
    </w:pPr>
    <w:rPr>
      <w:rFonts w:ascii="Arial" w:eastAsia="MS Mincho" w:hAnsi="Arial" w:cs="Times New Roman"/>
      <w:b/>
      <w:sz w:val="20"/>
      <w:szCs w:val="20"/>
      <w:lang w:eastAsia="fr-FR"/>
    </w:rPr>
  </w:style>
  <w:style w:type="paragraph" w:styleId="Index4">
    <w:name w:val="index 4"/>
    <w:basedOn w:val="Normal"/>
    <w:next w:val="Normal"/>
    <w:autoRedefine/>
    <w:semiHidden/>
    <w:rsid w:val="008C7F3C"/>
    <w:pPr>
      <w:spacing w:after="240" w:line="220" w:lineRule="atLeast"/>
      <w:ind w:left="800" w:hanging="200"/>
      <w:jc w:val="both"/>
    </w:pPr>
    <w:rPr>
      <w:rFonts w:ascii="Arial" w:eastAsia="MS Mincho" w:hAnsi="Arial" w:cs="Times New Roman"/>
      <w:b/>
      <w:sz w:val="20"/>
      <w:szCs w:val="20"/>
      <w:lang w:eastAsia="fr-FR"/>
    </w:rPr>
  </w:style>
  <w:style w:type="paragraph" w:styleId="Index5">
    <w:name w:val="index 5"/>
    <w:basedOn w:val="Normal"/>
    <w:next w:val="Normal"/>
    <w:autoRedefine/>
    <w:semiHidden/>
    <w:rsid w:val="008C7F3C"/>
    <w:pPr>
      <w:spacing w:after="240" w:line="220" w:lineRule="atLeast"/>
      <w:ind w:left="1000" w:hanging="200"/>
      <w:jc w:val="both"/>
    </w:pPr>
    <w:rPr>
      <w:rFonts w:ascii="Arial" w:eastAsia="MS Mincho" w:hAnsi="Arial" w:cs="Times New Roman"/>
      <w:b/>
      <w:sz w:val="20"/>
      <w:szCs w:val="20"/>
      <w:lang w:eastAsia="fr-FR"/>
    </w:rPr>
  </w:style>
  <w:style w:type="paragraph" w:styleId="Index6">
    <w:name w:val="index 6"/>
    <w:basedOn w:val="Normal"/>
    <w:next w:val="Normal"/>
    <w:autoRedefine/>
    <w:semiHidden/>
    <w:rsid w:val="008C7F3C"/>
    <w:pPr>
      <w:spacing w:after="240" w:line="220" w:lineRule="atLeast"/>
      <w:ind w:left="1200" w:hanging="200"/>
      <w:jc w:val="both"/>
    </w:pPr>
    <w:rPr>
      <w:rFonts w:ascii="Arial" w:eastAsia="MS Mincho" w:hAnsi="Arial" w:cs="Times New Roman"/>
      <w:b/>
      <w:sz w:val="20"/>
      <w:szCs w:val="20"/>
      <w:lang w:eastAsia="fr-FR"/>
    </w:rPr>
  </w:style>
  <w:style w:type="paragraph" w:styleId="Index7">
    <w:name w:val="index 7"/>
    <w:basedOn w:val="Normal"/>
    <w:next w:val="Normal"/>
    <w:autoRedefine/>
    <w:semiHidden/>
    <w:rsid w:val="008C7F3C"/>
    <w:pPr>
      <w:spacing w:after="240" w:line="220" w:lineRule="atLeast"/>
      <w:ind w:left="1400" w:hanging="200"/>
      <w:jc w:val="both"/>
    </w:pPr>
    <w:rPr>
      <w:rFonts w:ascii="Arial" w:eastAsia="MS Mincho" w:hAnsi="Arial" w:cs="Times New Roman"/>
      <w:b/>
      <w:sz w:val="20"/>
      <w:szCs w:val="20"/>
      <w:lang w:eastAsia="fr-FR"/>
    </w:rPr>
  </w:style>
  <w:style w:type="paragraph" w:styleId="Index8">
    <w:name w:val="index 8"/>
    <w:basedOn w:val="Normal"/>
    <w:next w:val="Normal"/>
    <w:autoRedefine/>
    <w:semiHidden/>
    <w:rsid w:val="008C7F3C"/>
    <w:pPr>
      <w:spacing w:after="240" w:line="220" w:lineRule="atLeast"/>
      <w:ind w:left="1600" w:hanging="200"/>
      <w:jc w:val="both"/>
    </w:pPr>
    <w:rPr>
      <w:rFonts w:ascii="Arial" w:eastAsia="MS Mincho" w:hAnsi="Arial" w:cs="Times New Roman"/>
      <w:b/>
      <w:sz w:val="20"/>
      <w:szCs w:val="20"/>
      <w:lang w:eastAsia="fr-FR"/>
    </w:rPr>
  </w:style>
  <w:style w:type="paragraph" w:styleId="Index9">
    <w:name w:val="index 9"/>
    <w:basedOn w:val="Normal"/>
    <w:next w:val="Normal"/>
    <w:autoRedefine/>
    <w:semiHidden/>
    <w:rsid w:val="008C7F3C"/>
    <w:pPr>
      <w:spacing w:after="240" w:line="220" w:lineRule="atLeast"/>
      <w:ind w:left="1800" w:hanging="200"/>
      <w:jc w:val="both"/>
    </w:pPr>
    <w:rPr>
      <w:rFonts w:ascii="Arial" w:eastAsia="MS Mincho" w:hAnsi="Arial" w:cs="Times New Roman"/>
      <w:b/>
      <w:sz w:val="20"/>
      <w:szCs w:val="20"/>
      <w:lang w:eastAsia="fr-FR"/>
    </w:rPr>
  </w:style>
  <w:style w:type="paragraph" w:customStyle="1" w:styleId="Introduction">
    <w:name w:val="Introduction"/>
    <w:basedOn w:val="Normal"/>
    <w:next w:val="Normal"/>
    <w:rsid w:val="008C7F3C"/>
    <w:pPr>
      <w:keepNext/>
      <w:pageBreakBefore/>
      <w:tabs>
        <w:tab w:val="left" w:pos="400"/>
      </w:tabs>
      <w:suppressAutoHyphens/>
      <w:spacing w:before="960" w:after="310" w:line="310" w:lineRule="exact"/>
    </w:pPr>
    <w:rPr>
      <w:rFonts w:ascii="Arial" w:eastAsia="MS Mincho" w:hAnsi="Arial" w:cs="Times New Roman"/>
      <w:b/>
      <w:sz w:val="28"/>
      <w:szCs w:val="20"/>
      <w:lang w:eastAsia="fr-FR"/>
    </w:rPr>
  </w:style>
  <w:style w:type="paragraph" w:styleId="Lgende">
    <w:name w:val="caption"/>
    <w:basedOn w:val="Normal"/>
    <w:next w:val="Normal"/>
    <w:qFormat/>
    <w:rsid w:val="008C7F3C"/>
    <w:pPr>
      <w:spacing w:before="120" w:after="120" w:line="230" w:lineRule="atLeast"/>
      <w:jc w:val="both"/>
    </w:pPr>
    <w:rPr>
      <w:rFonts w:ascii="Arial" w:eastAsia="MS Mincho" w:hAnsi="Arial" w:cs="Times New Roman"/>
      <w:b/>
      <w:sz w:val="20"/>
      <w:szCs w:val="20"/>
      <w:lang w:eastAsia="fr-FR"/>
    </w:rPr>
  </w:style>
  <w:style w:type="character" w:styleId="Lienhypertextesuivivisit">
    <w:name w:val="FollowedHyperlink"/>
    <w:rsid w:val="008C7F3C"/>
    <w:rPr>
      <w:noProof w:val="0"/>
      <w:color w:val="800080"/>
      <w:u w:val="single"/>
      <w:lang w:val="fr-FR"/>
    </w:rPr>
  </w:style>
  <w:style w:type="paragraph" w:styleId="Liste">
    <w:name w:val="List"/>
    <w:basedOn w:val="Normal"/>
    <w:rsid w:val="008C7F3C"/>
    <w:pPr>
      <w:spacing w:after="240" w:line="230" w:lineRule="atLeast"/>
      <w:ind w:left="283" w:hanging="283"/>
      <w:jc w:val="both"/>
    </w:pPr>
    <w:rPr>
      <w:rFonts w:ascii="Arial" w:eastAsia="MS Mincho" w:hAnsi="Arial" w:cs="Times New Roman"/>
      <w:sz w:val="20"/>
      <w:szCs w:val="20"/>
      <w:lang w:eastAsia="fr-FR"/>
    </w:rPr>
  </w:style>
  <w:style w:type="paragraph" w:styleId="Liste2">
    <w:name w:val="List 2"/>
    <w:basedOn w:val="Normal"/>
    <w:rsid w:val="008C7F3C"/>
    <w:pPr>
      <w:spacing w:after="240" w:line="230" w:lineRule="atLeast"/>
      <w:ind w:left="566" w:hanging="283"/>
      <w:jc w:val="both"/>
    </w:pPr>
    <w:rPr>
      <w:rFonts w:ascii="Arial" w:eastAsia="MS Mincho" w:hAnsi="Arial" w:cs="Times New Roman"/>
      <w:sz w:val="20"/>
      <w:szCs w:val="20"/>
      <w:lang w:eastAsia="fr-FR"/>
    </w:rPr>
  </w:style>
  <w:style w:type="paragraph" w:styleId="Liste3">
    <w:name w:val="List 3"/>
    <w:basedOn w:val="Normal"/>
    <w:rsid w:val="008C7F3C"/>
    <w:pPr>
      <w:spacing w:after="240" w:line="230" w:lineRule="atLeast"/>
      <w:ind w:left="849" w:hanging="283"/>
      <w:jc w:val="both"/>
    </w:pPr>
    <w:rPr>
      <w:rFonts w:ascii="Arial" w:eastAsia="MS Mincho" w:hAnsi="Arial" w:cs="Times New Roman"/>
      <w:sz w:val="20"/>
      <w:szCs w:val="20"/>
      <w:lang w:eastAsia="fr-FR"/>
    </w:rPr>
  </w:style>
  <w:style w:type="paragraph" w:styleId="Liste4">
    <w:name w:val="List 4"/>
    <w:basedOn w:val="Normal"/>
    <w:rsid w:val="008C7F3C"/>
    <w:pPr>
      <w:spacing w:after="240" w:line="230" w:lineRule="atLeast"/>
      <w:ind w:left="1132" w:hanging="283"/>
      <w:jc w:val="both"/>
    </w:pPr>
    <w:rPr>
      <w:rFonts w:ascii="Arial" w:eastAsia="MS Mincho" w:hAnsi="Arial" w:cs="Times New Roman"/>
      <w:sz w:val="20"/>
      <w:szCs w:val="20"/>
      <w:lang w:eastAsia="fr-FR"/>
    </w:rPr>
  </w:style>
  <w:style w:type="paragraph" w:styleId="Liste5">
    <w:name w:val="List 5"/>
    <w:basedOn w:val="Normal"/>
    <w:rsid w:val="008C7F3C"/>
    <w:pPr>
      <w:spacing w:after="240" w:line="230" w:lineRule="atLeast"/>
      <w:ind w:left="1415" w:hanging="283"/>
      <w:jc w:val="both"/>
    </w:pPr>
    <w:rPr>
      <w:rFonts w:ascii="Arial" w:eastAsia="MS Mincho" w:hAnsi="Arial" w:cs="Times New Roman"/>
      <w:sz w:val="20"/>
      <w:szCs w:val="20"/>
      <w:lang w:eastAsia="fr-FR"/>
    </w:rPr>
  </w:style>
  <w:style w:type="paragraph" w:styleId="Listenumros">
    <w:name w:val="List Number"/>
    <w:basedOn w:val="Normal"/>
    <w:rsid w:val="008C7F3C"/>
    <w:pPr>
      <w:numPr>
        <w:numId w:val="36"/>
      </w:numPr>
      <w:tabs>
        <w:tab w:val="left" w:pos="400"/>
      </w:tabs>
      <w:spacing w:after="240" w:line="230" w:lineRule="atLeast"/>
      <w:ind w:left="400" w:hanging="400"/>
      <w:jc w:val="both"/>
    </w:pPr>
    <w:rPr>
      <w:rFonts w:ascii="Arial" w:eastAsia="MS Mincho" w:hAnsi="Arial" w:cs="Times New Roman"/>
      <w:sz w:val="20"/>
      <w:szCs w:val="20"/>
      <w:lang w:eastAsia="fr-FR"/>
    </w:rPr>
  </w:style>
  <w:style w:type="paragraph" w:styleId="Listenumros2">
    <w:name w:val="List Number 2"/>
    <w:basedOn w:val="Normal"/>
    <w:rsid w:val="008C7F3C"/>
    <w:pPr>
      <w:numPr>
        <w:numId w:val="37"/>
      </w:numPr>
      <w:tabs>
        <w:tab w:val="clear" w:pos="643"/>
        <w:tab w:val="left" w:pos="800"/>
        <w:tab w:val="num" w:pos="1080"/>
      </w:tabs>
      <w:spacing w:after="240" w:line="230" w:lineRule="atLeast"/>
      <w:ind w:left="800" w:hanging="400"/>
      <w:jc w:val="both"/>
    </w:pPr>
    <w:rPr>
      <w:rFonts w:ascii="Arial" w:eastAsia="MS Mincho" w:hAnsi="Arial" w:cs="Times New Roman"/>
      <w:sz w:val="20"/>
      <w:szCs w:val="20"/>
      <w:lang w:eastAsia="fr-FR"/>
    </w:rPr>
  </w:style>
  <w:style w:type="paragraph" w:styleId="Listenumros3">
    <w:name w:val="List Number 3"/>
    <w:basedOn w:val="Normal"/>
    <w:rsid w:val="008C7F3C"/>
    <w:pPr>
      <w:numPr>
        <w:ilvl w:val="2"/>
        <w:numId w:val="25"/>
      </w:numPr>
      <w:tabs>
        <w:tab w:val="left" w:pos="1200"/>
      </w:tabs>
      <w:spacing w:after="240" w:line="230" w:lineRule="atLeast"/>
      <w:jc w:val="both"/>
    </w:pPr>
    <w:rPr>
      <w:rFonts w:ascii="Arial" w:eastAsia="MS Mincho" w:hAnsi="Arial" w:cs="Times New Roman"/>
      <w:sz w:val="20"/>
      <w:szCs w:val="20"/>
      <w:lang w:eastAsia="fr-FR"/>
    </w:rPr>
  </w:style>
  <w:style w:type="paragraph" w:styleId="Listenumros4">
    <w:name w:val="List Number 4"/>
    <w:basedOn w:val="Normal"/>
    <w:rsid w:val="008C7F3C"/>
    <w:pPr>
      <w:numPr>
        <w:ilvl w:val="3"/>
        <w:numId w:val="25"/>
      </w:numPr>
      <w:tabs>
        <w:tab w:val="left" w:pos="1600"/>
      </w:tabs>
      <w:spacing w:after="240" w:line="230" w:lineRule="atLeast"/>
      <w:jc w:val="both"/>
    </w:pPr>
    <w:rPr>
      <w:rFonts w:ascii="Arial" w:eastAsia="MS Mincho" w:hAnsi="Arial" w:cs="Times New Roman"/>
      <w:sz w:val="20"/>
      <w:szCs w:val="20"/>
      <w:lang w:eastAsia="fr-FR"/>
    </w:rPr>
  </w:style>
  <w:style w:type="paragraph" w:styleId="Listenumros5">
    <w:name w:val="List Number 5"/>
    <w:basedOn w:val="Normal"/>
    <w:rsid w:val="008C7F3C"/>
    <w:pPr>
      <w:numPr>
        <w:numId w:val="26"/>
      </w:numPr>
      <w:spacing w:after="240" w:line="230" w:lineRule="atLeast"/>
      <w:jc w:val="both"/>
    </w:pPr>
    <w:rPr>
      <w:rFonts w:ascii="Arial" w:eastAsia="MS Mincho" w:hAnsi="Arial" w:cs="Times New Roman"/>
      <w:sz w:val="20"/>
      <w:szCs w:val="20"/>
      <w:lang w:eastAsia="fr-FR"/>
    </w:rPr>
  </w:style>
  <w:style w:type="paragraph" w:styleId="Listepuces">
    <w:name w:val="List Bullet"/>
    <w:basedOn w:val="Normal"/>
    <w:autoRedefine/>
    <w:rsid w:val="008C7F3C"/>
    <w:pPr>
      <w:numPr>
        <w:numId w:val="27"/>
      </w:numPr>
      <w:spacing w:after="240" w:line="230" w:lineRule="atLeast"/>
      <w:jc w:val="both"/>
    </w:pPr>
    <w:rPr>
      <w:rFonts w:ascii="Arial" w:eastAsia="MS Mincho" w:hAnsi="Arial" w:cs="Times New Roman"/>
      <w:sz w:val="20"/>
      <w:szCs w:val="20"/>
      <w:lang w:eastAsia="fr-FR"/>
    </w:rPr>
  </w:style>
  <w:style w:type="paragraph" w:styleId="Listepuces2">
    <w:name w:val="List Bullet 2"/>
    <w:basedOn w:val="Normal"/>
    <w:autoRedefine/>
    <w:rsid w:val="008C7F3C"/>
    <w:pPr>
      <w:numPr>
        <w:numId w:val="28"/>
      </w:numPr>
      <w:spacing w:after="240" w:line="230" w:lineRule="atLeast"/>
      <w:jc w:val="both"/>
    </w:pPr>
    <w:rPr>
      <w:rFonts w:ascii="Arial" w:eastAsia="MS Mincho" w:hAnsi="Arial" w:cs="Times New Roman"/>
      <w:sz w:val="20"/>
      <w:szCs w:val="20"/>
      <w:lang w:eastAsia="fr-FR"/>
    </w:rPr>
  </w:style>
  <w:style w:type="paragraph" w:styleId="Listepuces3">
    <w:name w:val="List Bullet 3"/>
    <w:basedOn w:val="Normal"/>
    <w:autoRedefine/>
    <w:rsid w:val="008C7F3C"/>
    <w:pPr>
      <w:numPr>
        <w:numId w:val="29"/>
      </w:numPr>
      <w:spacing w:after="240" w:line="230" w:lineRule="atLeast"/>
      <w:jc w:val="both"/>
    </w:pPr>
    <w:rPr>
      <w:rFonts w:ascii="Arial" w:eastAsia="MS Mincho" w:hAnsi="Arial" w:cs="Times New Roman"/>
      <w:sz w:val="20"/>
      <w:szCs w:val="20"/>
      <w:lang w:eastAsia="fr-FR"/>
    </w:rPr>
  </w:style>
  <w:style w:type="paragraph" w:styleId="Listepuces4">
    <w:name w:val="List Bullet 4"/>
    <w:basedOn w:val="Normal"/>
    <w:autoRedefine/>
    <w:rsid w:val="008C7F3C"/>
    <w:pPr>
      <w:numPr>
        <w:numId w:val="30"/>
      </w:numPr>
      <w:spacing w:after="240" w:line="230" w:lineRule="atLeast"/>
      <w:jc w:val="both"/>
    </w:pPr>
    <w:rPr>
      <w:rFonts w:ascii="Arial" w:eastAsia="MS Mincho" w:hAnsi="Arial" w:cs="Times New Roman"/>
      <w:sz w:val="20"/>
      <w:szCs w:val="20"/>
      <w:lang w:eastAsia="fr-FR"/>
    </w:rPr>
  </w:style>
  <w:style w:type="paragraph" w:styleId="Listepuces5">
    <w:name w:val="List Bullet 5"/>
    <w:basedOn w:val="Normal"/>
    <w:autoRedefine/>
    <w:rsid w:val="008C7F3C"/>
    <w:pPr>
      <w:numPr>
        <w:numId w:val="31"/>
      </w:numPr>
      <w:spacing w:after="240" w:line="230" w:lineRule="atLeast"/>
      <w:jc w:val="both"/>
    </w:pPr>
    <w:rPr>
      <w:rFonts w:ascii="Arial" w:eastAsia="MS Mincho" w:hAnsi="Arial" w:cs="Times New Roman"/>
      <w:sz w:val="20"/>
      <w:szCs w:val="20"/>
      <w:lang w:eastAsia="fr-FR"/>
    </w:rPr>
  </w:style>
  <w:style w:type="paragraph" w:styleId="Listecontinue">
    <w:name w:val="List Continue"/>
    <w:basedOn w:val="Normal"/>
    <w:rsid w:val="008C7F3C"/>
    <w:pPr>
      <w:numPr>
        <w:numId w:val="32"/>
      </w:numPr>
      <w:tabs>
        <w:tab w:val="left" w:pos="400"/>
      </w:tabs>
      <w:spacing w:after="240" w:line="230" w:lineRule="atLeast"/>
      <w:jc w:val="both"/>
    </w:pPr>
    <w:rPr>
      <w:rFonts w:ascii="Arial" w:eastAsia="MS Mincho" w:hAnsi="Arial" w:cs="Times New Roman"/>
      <w:sz w:val="20"/>
      <w:szCs w:val="20"/>
      <w:lang w:eastAsia="fr-FR"/>
    </w:rPr>
  </w:style>
  <w:style w:type="paragraph" w:styleId="Listecontinue2">
    <w:name w:val="List Continue 2"/>
    <w:basedOn w:val="Listecontinue"/>
    <w:rsid w:val="008C7F3C"/>
    <w:pPr>
      <w:numPr>
        <w:ilvl w:val="1"/>
      </w:numPr>
      <w:tabs>
        <w:tab w:val="clear" w:pos="400"/>
        <w:tab w:val="left" w:pos="800"/>
      </w:tabs>
    </w:pPr>
  </w:style>
  <w:style w:type="paragraph" w:styleId="Listecontinue3">
    <w:name w:val="List Continue 3"/>
    <w:basedOn w:val="Listecontinue"/>
    <w:rsid w:val="008C7F3C"/>
    <w:pPr>
      <w:numPr>
        <w:ilvl w:val="2"/>
      </w:numPr>
      <w:tabs>
        <w:tab w:val="clear" w:pos="400"/>
        <w:tab w:val="left" w:pos="1200"/>
      </w:tabs>
    </w:pPr>
  </w:style>
  <w:style w:type="paragraph" w:styleId="Listecontinue4">
    <w:name w:val="List Continue 4"/>
    <w:basedOn w:val="Listecontinue"/>
    <w:rsid w:val="008C7F3C"/>
    <w:pPr>
      <w:numPr>
        <w:ilvl w:val="3"/>
      </w:numPr>
      <w:tabs>
        <w:tab w:val="clear" w:pos="400"/>
        <w:tab w:val="left" w:pos="1600"/>
      </w:tabs>
    </w:pPr>
  </w:style>
  <w:style w:type="paragraph" w:styleId="Listecontinue5">
    <w:name w:val="List Continue 5"/>
    <w:basedOn w:val="Normal"/>
    <w:rsid w:val="008C7F3C"/>
    <w:pPr>
      <w:spacing w:after="120" w:line="230" w:lineRule="atLeast"/>
      <w:ind w:left="1415"/>
      <w:jc w:val="both"/>
    </w:pPr>
    <w:rPr>
      <w:rFonts w:ascii="Arial" w:eastAsia="MS Mincho" w:hAnsi="Arial" w:cs="Times New Roman"/>
      <w:sz w:val="20"/>
      <w:szCs w:val="20"/>
      <w:lang w:eastAsia="fr-FR"/>
    </w:rPr>
  </w:style>
  <w:style w:type="character" w:styleId="Marquedecommentaire">
    <w:name w:val="annotation reference"/>
    <w:semiHidden/>
    <w:rsid w:val="008C7F3C"/>
    <w:rPr>
      <w:noProof w:val="0"/>
      <w:sz w:val="16"/>
      <w:lang w:val="fr-FR"/>
    </w:rPr>
  </w:style>
  <w:style w:type="paragraph" w:customStyle="1" w:styleId="MSDNFR">
    <w:name w:val="MSDNFR"/>
    <w:basedOn w:val="Normal"/>
    <w:next w:val="Normal"/>
    <w:rsid w:val="008C7F3C"/>
    <w:pPr>
      <w:spacing w:after="240" w:line="220" w:lineRule="atLeast"/>
      <w:jc w:val="both"/>
    </w:pPr>
    <w:rPr>
      <w:rFonts w:ascii="Arial" w:eastAsia="MS Mincho" w:hAnsi="Arial" w:cs="Times New Roman"/>
      <w:color w:val="0000FF"/>
      <w:sz w:val="20"/>
      <w:szCs w:val="20"/>
      <w:lang w:eastAsia="fr-FR"/>
    </w:rPr>
  </w:style>
  <w:style w:type="paragraph" w:customStyle="1" w:styleId="na2">
    <w:name w:val="na2"/>
    <w:basedOn w:val="a2"/>
    <w:next w:val="Normal"/>
    <w:rsid w:val="008C7F3C"/>
    <w:pPr>
      <w:numPr>
        <w:numId w:val="33"/>
      </w:numPr>
    </w:pPr>
  </w:style>
  <w:style w:type="paragraph" w:customStyle="1" w:styleId="na3">
    <w:name w:val="na3"/>
    <w:basedOn w:val="a3"/>
    <w:next w:val="Normal"/>
    <w:rsid w:val="008C7F3C"/>
    <w:pPr>
      <w:numPr>
        <w:numId w:val="33"/>
      </w:numPr>
    </w:pPr>
  </w:style>
  <w:style w:type="paragraph" w:customStyle="1" w:styleId="na4">
    <w:name w:val="na4"/>
    <w:basedOn w:val="a4"/>
    <w:next w:val="Normal"/>
    <w:rsid w:val="008C7F3C"/>
    <w:pPr>
      <w:numPr>
        <w:numId w:val="33"/>
      </w:numPr>
      <w:tabs>
        <w:tab w:val="left" w:pos="1060"/>
      </w:tabs>
    </w:pPr>
  </w:style>
  <w:style w:type="paragraph" w:customStyle="1" w:styleId="na5">
    <w:name w:val="na5"/>
    <w:basedOn w:val="a5"/>
    <w:next w:val="Normal"/>
    <w:rsid w:val="008C7F3C"/>
    <w:pPr>
      <w:numPr>
        <w:numId w:val="33"/>
      </w:numPr>
    </w:pPr>
  </w:style>
  <w:style w:type="paragraph" w:customStyle="1" w:styleId="na6">
    <w:name w:val="na6"/>
    <w:basedOn w:val="a6"/>
    <w:next w:val="Normal"/>
    <w:rsid w:val="008C7F3C"/>
    <w:pPr>
      <w:numPr>
        <w:numId w:val="33"/>
      </w:numPr>
    </w:pPr>
  </w:style>
  <w:style w:type="paragraph" w:styleId="Normalcentr">
    <w:name w:val="Block Text"/>
    <w:basedOn w:val="Normal"/>
    <w:rsid w:val="008C7F3C"/>
    <w:pPr>
      <w:spacing w:after="120" w:line="230" w:lineRule="atLeast"/>
      <w:ind w:left="1440" w:right="1440"/>
      <w:jc w:val="both"/>
    </w:pPr>
    <w:rPr>
      <w:rFonts w:ascii="Arial" w:eastAsia="MS Mincho" w:hAnsi="Arial" w:cs="Times New Roman"/>
      <w:sz w:val="20"/>
      <w:szCs w:val="20"/>
      <w:lang w:eastAsia="fr-FR"/>
    </w:rPr>
  </w:style>
  <w:style w:type="paragraph" w:customStyle="1" w:styleId="Note">
    <w:name w:val="Note"/>
    <w:basedOn w:val="Normal"/>
    <w:next w:val="Normal"/>
    <w:rsid w:val="008C7F3C"/>
    <w:pPr>
      <w:tabs>
        <w:tab w:val="left" w:pos="960"/>
      </w:tabs>
      <w:spacing w:after="240" w:line="210" w:lineRule="atLeast"/>
      <w:jc w:val="both"/>
    </w:pPr>
    <w:rPr>
      <w:rFonts w:ascii="Arial" w:eastAsia="MS Mincho" w:hAnsi="Arial" w:cs="Times New Roman"/>
      <w:sz w:val="18"/>
      <w:szCs w:val="20"/>
      <w:lang w:eastAsia="fr-FR"/>
    </w:rPr>
  </w:style>
  <w:style w:type="paragraph" w:styleId="Notedebasdepage">
    <w:name w:val="footnote text"/>
    <w:aliases w:val="fn,FOOTNOTES,single space,footnote text,Fodnotetekst Tegn,footnote text Char,Fodnotetekst Tegn Char,single space Char,footnote text Char Char Char,Fodnotetekst Tegn Char1,single space Char1,footnote text Char Char1,Footnote Text Char"/>
    <w:basedOn w:val="Normal"/>
    <w:link w:val="NotedebasdepageCar"/>
    <w:uiPriority w:val="99"/>
    <w:rsid w:val="008C7F3C"/>
    <w:pPr>
      <w:tabs>
        <w:tab w:val="left" w:pos="340"/>
      </w:tabs>
      <w:spacing w:after="120" w:line="210" w:lineRule="atLeast"/>
      <w:jc w:val="both"/>
    </w:pPr>
    <w:rPr>
      <w:rFonts w:ascii="Arial" w:eastAsia="MS Mincho" w:hAnsi="Arial" w:cs="Times New Roman"/>
      <w:sz w:val="18"/>
      <w:szCs w:val="20"/>
      <w:lang w:eastAsia="fr-FR"/>
    </w:rPr>
  </w:style>
  <w:style w:type="character" w:customStyle="1" w:styleId="NotedebasdepageCar">
    <w:name w:val="Note de bas de page Car"/>
    <w:aliases w:val="fn Car,FOOTNOTES Car,single space Car,footnote text Car,Fodnotetekst Tegn Car,footnote text Char Car,Fodnotetekst Tegn Char Car,single space Char Car,footnote text Char Char Char Car,Fodnotetekst Tegn Char1 Car"/>
    <w:basedOn w:val="Policepardfaut"/>
    <w:link w:val="Notedebasdepage"/>
    <w:uiPriority w:val="99"/>
    <w:rsid w:val="008C7F3C"/>
    <w:rPr>
      <w:rFonts w:ascii="Arial" w:eastAsia="MS Mincho" w:hAnsi="Arial" w:cs="Times New Roman"/>
      <w:sz w:val="18"/>
      <w:szCs w:val="20"/>
      <w:lang w:eastAsia="fr-FR"/>
    </w:rPr>
  </w:style>
  <w:style w:type="paragraph" w:styleId="Notedefin">
    <w:name w:val="endnote text"/>
    <w:basedOn w:val="Normal"/>
    <w:link w:val="NotedefinCar"/>
    <w:semiHidden/>
    <w:rsid w:val="008C7F3C"/>
    <w:pPr>
      <w:spacing w:after="240" w:line="230" w:lineRule="atLeast"/>
      <w:jc w:val="both"/>
    </w:pPr>
    <w:rPr>
      <w:rFonts w:ascii="Arial" w:eastAsia="MS Mincho" w:hAnsi="Arial" w:cs="Times New Roman"/>
      <w:sz w:val="20"/>
      <w:szCs w:val="20"/>
      <w:lang w:eastAsia="fr-FR"/>
    </w:rPr>
  </w:style>
  <w:style w:type="character" w:customStyle="1" w:styleId="NotedefinCar">
    <w:name w:val="Note de fin Car"/>
    <w:basedOn w:val="Policepardfaut"/>
    <w:link w:val="Notedefin"/>
    <w:semiHidden/>
    <w:rsid w:val="008C7F3C"/>
    <w:rPr>
      <w:rFonts w:ascii="Arial" w:eastAsia="MS Mincho" w:hAnsi="Arial" w:cs="Times New Roman"/>
      <w:sz w:val="20"/>
      <w:szCs w:val="20"/>
      <w:lang w:eastAsia="fr-FR"/>
    </w:rPr>
  </w:style>
  <w:style w:type="character" w:styleId="Numrodeligne">
    <w:name w:val="line number"/>
    <w:rsid w:val="008C7F3C"/>
    <w:rPr>
      <w:noProof w:val="0"/>
      <w:lang w:val="fr-FR"/>
    </w:rPr>
  </w:style>
  <w:style w:type="character" w:styleId="Numrodepage">
    <w:name w:val="page number"/>
    <w:rsid w:val="008C7F3C"/>
    <w:rPr>
      <w:noProof/>
      <w:lang w:val="fr-FR"/>
    </w:rPr>
  </w:style>
  <w:style w:type="paragraph" w:customStyle="1" w:styleId="p2">
    <w:name w:val="p2"/>
    <w:basedOn w:val="Normal"/>
    <w:next w:val="Normal"/>
    <w:rsid w:val="008C7F3C"/>
    <w:pPr>
      <w:tabs>
        <w:tab w:val="left" w:pos="560"/>
      </w:tabs>
      <w:spacing w:after="240" w:line="230" w:lineRule="atLeast"/>
      <w:jc w:val="both"/>
    </w:pPr>
    <w:rPr>
      <w:rFonts w:ascii="Arial" w:eastAsia="MS Mincho" w:hAnsi="Arial" w:cs="Times New Roman"/>
      <w:sz w:val="20"/>
      <w:szCs w:val="20"/>
      <w:lang w:eastAsia="fr-FR"/>
    </w:rPr>
  </w:style>
  <w:style w:type="paragraph" w:customStyle="1" w:styleId="p3">
    <w:name w:val="p3"/>
    <w:basedOn w:val="Normal"/>
    <w:next w:val="Normal"/>
    <w:rsid w:val="008C7F3C"/>
    <w:pPr>
      <w:tabs>
        <w:tab w:val="left" w:pos="720"/>
      </w:tabs>
      <w:spacing w:after="240" w:line="230" w:lineRule="atLeast"/>
      <w:jc w:val="both"/>
    </w:pPr>
    <w:rPr>
      <w:rFonts w:ascii="Arial" w:eastAsia="MS Mincho" w:hAnsi="Arial" w:cs="Times New Roman"/>
      <w:sz w:val="20"/>
      <w:szCs w:val="20"/>
      <w:lang w:eastAsia="fr-FR"/>
    </w:rPr>
  </w:style>
  <w:style w:type="paragraph" w:customStyle="1" w:styleId="p4">
    <w:name w:val="p4"/>
    <w:basedOn w:val="Normal"/>
    <w:next w:val="Normal"/>
    <w:rsid w:val="008C7F3C"/>
    <w:pPr>
      <w:tabs>
        <w:tab w:val="left" w:pos="1100"/>
      </w:tabs>
      <w:spacing w:after="240" w:line="230" w:lineRule="atLeast"/>
      <w:jc w:val="both"/>
    </w:pPr>
    <w:rPr>
      <w:rFonts w:ascii="Arial" w:eastAsia="MS Mincho" w:hAnsi="Arial" w:cs="Times New Roman"/>
      <w:sz w:val="20"/>
      <w:szCs w:val="20"/>
      <w:lang w:eastAsia="fr-FR"/>
    </w:rPr>
  </w:style>
  <w:style w:type="paragraph" w:customStyle="1" w:styleId="p5">
    <w:name w:val="p5"/>
    <w:basedOn w:val="Normal"/>
    <w:next w:val="Normal"/>
    <w:rsid w:val="008C7F3C"/>
    <w:pPr>
      <w:tabs>
        <w:tab w:val="left" w:pos="1100"/>
      </w:tabs>
      <w:spacing w:after="240" w:line="230" w:lineRule="atLeast"/>
      <w:jc w:val="both"/>
    </w:pPr>
    <w:rPr>
      <w:rFonts w:ascii="Arial" w:eastAsia="MS Mincho" w:hAnsi="Arial" w:cs="Times New Roman"/>
      <w:sz w:val="20"/>
      <w:szCs w:val="20"/>
      <w:lang w:eastAsia="fr-FR"/>
    </w:rPr>
  </w:style>
  <w:style w:type="paragraph" w:customStyle="1" w:styleId="p6">
    <w:name w:val="p6"/>
    <w:basedOn w:val="Normal"/>
    <w:next w:val="Normal"/>
    <w:rsid w:val="008C7F3C"/>
    <w:pPr>
      <w:tabs>
        <w:tab w:val="left" w:pos="1440"/>
      </w:tabs>
      <w:spacing w:after="240" w:line="230" w:lineRule="atLeast"/>
      <w:jc w:val="both"/>
    </w:pPr>
    <w:rPr>
      <w:rFonts w:ascii="Arial" w:eastAsia="MS Mincho" w:hAnsi="Arial" w:cs="Times New Roman"/>
      <w:sz w:val="20"/>
      <w:szCs w:val="20"/>
      <w:lang w:eastAsia="fr-FR"/>
    </w:rPr>
  </w:style>
  <w:style w:type="paragraph" w:customStyle="1" w:styleId="RefNorm">
    <w:name w:val="RefNorm"/>
    <w:basedOn w:val="Normal"/>
    <w:next w:val="Normal"/>
    <w:rsid w:val="008C7F3C"/>
    <w:pPr>
      <w:spacing w:after="240" w:line="230" w:lineRule="atLeast"/>
      <w:jc w:val="both"/>
    </w:pPr>
    <w:rPr>
      <w:rFonts w:ascii="Arial" w:eastAsia="MS Mincho" w:hAnsi="Arial" w:cs="Times New Roman"/>
      <w:sz w:val="20"/>
      <w:szCs w:val="20"/>
      <w:lang w:eastAsia="fr-FR"/>
    </w:rPr>
  </w:style>
  <w:style w:type="paragraph" w:styleId="Retrait1religne">
    <w:name w:val="Body Text First Indent"/>
    <w:basedOn w:val="Corpsdetexte"/>
    <w:link w:val="Retrait1religneCar"/>
    <w:rsid w:val="008C7F3C"/>
    <w:pPr>
      <w:spacing w:line="210" w:lineRule="atLeast"/>
      <w:ind w:firstLine="210"/>
      <w:jc w:val="both"/>
    </w:pPr>
    <w:rPr>
      <w:rFonts w:ascii="Arial" w:eastAsia="MS Mincho" w:hAnsi="Arial" w:cs="Times New Roman"/>
      <w:sz w:val="18"/>
      <w:szCs w:val="20"/>
      <w:lang w:val="fr-FR" w:eastAsia="fr-FR"/>
    </w:rPr>
  </w:style>
  <w:style w:type="character" w:customStyle="1" w:styleId="Retrait1religneCar">
    <w:name w:val="Retrait 1re ligne Car"/>
    <w:basedOn w:val="CorpsdetexteCar"/>
    <w:link w:val="Retrait1religne"/>
    <w:rsid w:val="008C7F3C"/>
    <w:rPr>
      <w:rFonts w:ascii="Arial" w:eastAsia="MS Mincho" w:hAnsi="Arial" w:cs="Times New Roman"/>
      <w:sz w:val="18"/>
      <w:szCs w:val="20"/>
      <w:lang w:val="fr-CA" w:eastAsia="fr-FR"/>
    </w:rPr>
  </w:style>
  <w:style w:type="paragraph" w:styleId="Retraitcorpsdetexte2">
    <w:name w:val="Body Text Indent 2"/>
    <w:basedOn w:val="Normal"/>
    <w:link w:val="Retraitcorpsdetexte2Car"/>
    <w:rsid w:val="008C7F3C"/>
    <w:pPr>
      <w:spacing w:after="120" w:line="480" w:lineRule="auto"/>
      <w:ind w:left="283"/>
      <w:jc w:val="both"/>
    </w:pPr>
    <w:rPr>
      <w:rFonts w:ascii="Arial" w:eastAsia="MS Mincho" w:hAnsi="Arial" w:cs="Times New Roman"/>
      <w:sz w:val="20"/>
      <w:szCs w:val="20"/>
      <w:lang w:eastAsia="fr-FR"/>
    </w:rPr>
  </w:style>
  <w:style w:type="character" w:customStyle="1" w:styleId="Retraitcorpsdetexte2Car">
    <w:name w:val="Retrait corps de texte 2 Car"/>
    <w:basedOn w:val="Policepardfaut"/>
    <w:link w:val="Retraitcorpsdetexte2"/>
    <w:rsid w:val="008C7F3C"/>
    <w:rPr>
      <w:rFonts w:ascii="Arial" w:eastAsia="MS Mincho" w:hAnsi="Arial" w:cs="Times New Roman"/>
      <w:sz w:val="20"/>
      <w:szCs w:val="20"/>
      <w:lang w:eastAsia="fr-FR"/>
    </w:rPr>
  </w:style>
  <w:style w:type="paragraph" w:styleId="Retraitcorpsdetexte3">
    <w:name w:val="Body Text Indent 3"/>
    <w:basedOn w:val="Normal"/>
    <w:link w:val="Retraitcorpsdetexte3Car"/>
    <w:rsid w:val="008C7F3C"/>
    <w:pPr>
      <w:spacing w:after="120" w:line="230" w:lineRule="atLeast"/>
      <w:ind w:left="283"/>
      <w:jc w:val="both"/>
    </w:pPr>
    <w:rPr>
      <w:rFonts w:ascii="Arial" w:eastAsia="MS Mincho" w:hAnsi="Arial" w:cs="Times New Roman"/>
      <w:sz w:val="16"/>
      <w:szCs w:val="20"/>
      <w:lang w:eastAsia="fr-FR"/>
    </w:rPr>
  </w:style>
  <w:style w:type="character" w:customStyle="1" w:styleId="Retraitcorpsdetexte3Car">
    <w:name w:val="Retrait corps de texte 3 Car"/>
    <w:basedOn w:val="Policepardfaut"/>
    <w:link w:val="Retraitcorpsdetexte3"/>
    <w:rsid w:val="008C7F3C"/>
    <w:rPr>
      <w:rFonts w:ascii="Arial" w:eastAsia="MS Mincho" w:hAnsi="Arial" w:cs="Times New Roman"/>
      <w:sz w:val="16"/>
      <w:szCs w:val="20"/>
      <w:lang w:eastAsia="fr-FR"/>
    </w:rPr>
  </w:style>
  <w:style w:type="paragraph" w:styleId="Retraitcorpset1relig">
    <w:name w:val="Body Text First Indent 2"/>
    <w:basedOn w:val="Normal"/>
    <w:link w:val="Retraitcorpset1religCar"/>
    <w:rsid w:val="008C7F3C"/>
    <w:pPr>
      <w:spacing w:after="240" w:line="230" w:lineRule="atLeast"/>
      <w:ind w:firstLine="210"/>
      <w:jc w:val="both"/>
    </w:pPr>
    <w:rPr>
      <w:rFonts w:ascii="Arial" w:eastAsia="MS Mincho" w:hAnsi="Arial" w:cs="Times New Roman"/>
      <w:sz w:val="20"/>
      <w:szCs w:val="20"/>
      <w:lang w:eastAsia="fr-FR"/>
    </w:rPr>
  </w:style>
  <w:style w:type="character" w:customStyle="1" w:styleId="Retraitcorpset1religCar">
    <w:name w:val="Retrait corps et 1re lig. Car"/>
    <w:basedOn w:val="RetraitcorpsdetexteCar"/>
    <w:link w:val="Retraitcorpset1relig"/>
    <w:rsid w:val="008C7F3C"/>
    <w:rPr>
      <w:rFonts w:ascii="Arial" w:eastAsia="MS Mincho" w:hAnsi="Arial" w:cs="Times New Roman"/>
      <w:bCs w:val="0"/>
      <w:sz w:val="20"/>
      <w:szCs w:val="20"/>
      <w:lang w:eastAsia="fr-FR"/>
    </w:rPr>
  </w:style>
  <w:style w:type="paragraph" w:styleId="Retraitnormal">
    <w:name w:val="Normal Indent"/>
    <w:basedOn w:val="Normal"/>
    <w:rsid w:val="008C7F3C"/>
    <w:pPr>
      <w:spacing w:after="240" w:line="230" w:lineRule="atLeast"/>
      <w:ind w:left="708"/>
      <w:jc w:val="both"/>
    </w:pPr>
    <w:rPr>
      <w:rFonts w:ascii="Arial" w:eastAsia="MS Mincho" w:hAnsi="Arial" w:cs="Times New Roman"/>
      <w:sz w:val="20"/>
      <w:szCs w:val="20"/>
      <w:lang w:eastAsia="fr-FR"/>
    </w:rPr>
  </w:style>
  <w:style w:type="paragraph" w:styleId="Salutations">
    <w:name w:val="Salutation"/>
    <w:basedOn w:val="Normal"/>
    <w:next w:val="Normal"/>
    <w:link w:val="SalutationsCar"/>
    <w:rsid w:val="008C7F3C"/>
    <w:pPr>
      <w:spacing w:after="240" w:line="230" w:lineRule="atLeast"/>
      <w:jc w:val="both"/>
    </w:pPr>
    <w:rPr>
      <w:rFonts w:ascii="Arial" w:eastAsia="MS Mincho" w:hAnsi="Arial" w:cs="Times New Roman"/>
      <w:sz w:val="20"/>
      <w:szCs w:val="20"/>
      <w:lang w:eastAsia="fr-FR"/>
    </w:rPr>
  </w:style>
  <w:style w:type="character" w:customStyle="1" w:styleId="SalutationsCar">
    <w:name w:val="Salutations Car"/>
    <w:basedOn w:val="Policepardfaut"/>
    <w:link w:val="Salutations"/>
    <w:rsid w:val="008C7F3C"/>
    <w:rPr>
      <w:rFonts w:ascii="Arial" w:eastAsia="MS Mincho" w:hAnsi="Arial" w:cs="Times New Roman"/>
      <w:sz w:val="20"/>
      <w:szCs w:val="20"/>
      <w:lang w:eastAsia="fr-FR"/>
    </w:rPr>
  </w:style>
  <w:style w:type="paragraph" w:styleId="Signature">
    <w:name w:val="Signature"/>
    <w:basedOn w:val="Normal"/>
    <w:link w:val="SignatureCar"/>
    <w:rsid w:val="008C7F3C"/>
    <w:pPr>
      <w:spacing w:after="240" w:line="230" w:lineRule="atLeast"/>
      <w:ind w:left="4252"/>
      <w:jc w:val="both"/>
    </w:pPr>
    <w:rPr>
      <w:rFonts w:ascii="Arial" w:eastAsia="MS Mincho" w:hAnsi="Arial" w:cs="Times New Roman"/>
      <w:sz w:val="20"/>
      <w:szCs w:val="20"/>
      <w:lang w:eastAsia="fr-FR"/>
    </w:rPr>
  </w:style>
  <w:style w:type="character" w:customStyle="1" w:styleId="SignatureCar">
    <w:name w:val="Signature Car"/>
    <w:basedOn w:val="Policepardfaut"/>
    <w:link w:val="Signature"/>
    <w:rsid w:val="008C7F3C"/>
    <w:rPr>
      <w:rFonts w:ascii="Arial" w:eastAsia="MS Mincho" w:hAnsi="Arial" w:cs="Times New Roman"/>
      <w:sz w:val="20"/>
      <w:szCs w:val="20"/>
      <w:lang w:eastAsia="fr-FR"/>
    </w:rPr>
  </w:style>
  <w:style w:type="paragraph" w:styleId="Sous-titre">
    <w:name w:val="Subtitle"/>
    <w:basedOn w:val="Normal"/>
    <w:link w:val="Sous-titreCar"/>
    <w:qFormat/>
    <w:rsid w:val="008C7F3C"/>
    <w:pPr>
      <w:spacing w:after="60" w:line="230" w:lineRule="atLeast"/>
      <w:jc w:val="center"/>
      <w:outlineLvl w:val="1"/>
    </w:pPr>
    <w:rPr>
      <w:rFonts w:ascii="Arial" w:eastAsia="MS Mincho" w:hAnsi="Arial" w:cs="Times New Roman"/>
      <w:sz w:val="24"/>
      <w:szCs w:val="20"/>
      <w:lang w:eastAsia="fr-FR"/>
    </w:rPr>
  </w:style>
  <w:style w:type="character" w:customStyle="1" w:styleId="Sous-titreCar">
    <w:name w:val="Sous-titre Car"/>
    <w:basedOn w:val="Policepardfaut"/>
    <w:link w:val="Sous-titre"/>
    <w:rsid w:val="008C7F3C"/>
    <w:rPr>
      <w:rFonts w:ascii="Arial" w:eastAsia="MS Mincho" w:hAnsi="Arial" w:cs="Times New Roman"/>
      <w:sz w:val="24"/>
      <w:szCs w:val="20"/>
      <w:lang w:eastAsia="fr-FR"/>
    </w:rPr>
  </w:style>
  <w:style w:type="paragraph" w:customStyle="1" w:styleId="Special">
    <w:name w:val="Special"/>
    <w:basedOn w:val="Normal"/>
    <w:next w:val="Normal"/>
    <w:rsid w:val="008C7F3C"/>
    <w:pPr>
      <w:spacing w:after="240" w:line="230" w:lineRule="atLeast"/>
      <w:jc w:val="both"/>
    </w:pPr>
    <w:rPr>
      <w:rFonts w:ascii="Arial" w:eastAsia="MS Mincho" w:hAnsi="Arial" w:cs="Times New Roman"/>
      <w:sz w:val="20"/>
      <w:szCs w:val="20"/>
      <w:lang w:eastAsia="fr-FR"/>
    </w:rPr>
  </w:style>
  <w:style w:type="paragraph" w:styleId="Tabledesillustrations">
    <w:name w:val="table of figures"/>
    <w:basedOn w:val="Normal"/>
    <w:next w:val="Normal"/>
    <w:semiHidden/>
    <w:rsid w:val="008C7F3C"/>
    <w:pPr>
      <w:spacing w:after="240" w:line="230" w:lineRule="atLeast"/>
      <w:ind w:left="400" w:hanging="400"/>
      <w:jc w:val="both"/>
    </w:pPr>
    <w:rPr>
      <w:rFonts w:ascii="Arial" w:eastAsia="MS Mincho" w:hAnsi="Arial" w:cs="Times New Roman"/>
      <w:sz w:val="20"/>
      <w:szCs w:val="20"/>
      <w:lang w:eastAsia="fr-FR"/>
    </w:rPr>
  </w:style>
  <w:style w:type="paragraph" w:styleId="Tabledesrfrencesjuridiques">
    <w:name w:val="table of authorities"/>
    <w:basedOn w:val="Normal"/>
    <w:next w:val="Normal"/>
    <w:semiHidden/>
    <w:rsid w:val="008C7F3C"/>
    <w:pPr>
      <w:spacing w:after="240" w:line="230" w:lineRule="atLeast"/>
      <w:ind w:left="200" w:hanging="200"/>
      <w:jc w:val="both"/>
    </w:pPr>
    <w:rPr>
      <w:rFonts w:ascii="Arial" w:eastAsia="MS Mincho" w:hAnsi="Arial" w:cs="Times New Roman"/>
      <w:sz w:val="20"/>
      <w:szCs w:val="20"/>
      <w:lang w:eastAsia="fr-FR"/>
    </w:rPr>
  </w:style>
  <w:style w:type="paragraph" w:customStyle="1" w:styleId="Tablefootnote">
    <w:name w:val="Table footnote"/>
    <w:basedOn w:val="Normal"/>
    <w:rsid w:val="008C7F3C"/>
    <w:pPr>
      <w:tabs>
        <w:tab w:val="left" w:pos="340"/>
      </w:tabs>
      <w:spacing w:before="60" w:after="60" w:line="190" w:lineRule="atLeast"/>
      <w:jc w:val="both"/>
    </w:pPr>
    <w:rPr>
      <w:rFonts w:ascii="Arial" w:eastAsia="MS Mincho" w:hAnsi="Arial" w:cs="Times New Roman"/>
      <w:sz w:val="16"/>
      <w:szCs w:val="20"/>
      <w:lang w:eastAsia="fr-FR"/>
    </w:rPr>
  </w:style>
  <w:style w:type="paragraph" w:customStyle="1" w:styleId="Tabletext10">
    <w:name w:val="Table text (10)"/>
    <w:basedOn w:val="Normal"/>
    <w:rsid w:val="008C7F3C"/>
    <w:pPr>
      <w:spacing w:before="60" w:after="60" w:line="230" w:lineRule="atLeast"/>
      <w:jc w:val="both"/>
    </w:pPr>
    <w:rPr>
      <w:rFonts w:ascii="Arial" w:eastAsia="MS Mincho" w:hAnsi="Arial" w:cs="Times New Roman"/>
      <w:sz w:val="20"/>
      <w:szCs w:val="20"/>
      <w:lang w:eastAsia="fr-FR"/>
    </w:rPr>
  </w:style>
  <w:style w:type="paragraph" w:customStyle="1" w:styleId="Tabletext7">
    <w:name w:val="Table text (7)"/>
    <w:basedOn w:val="Normal"/>
    <w:rsid w:val="008C7F3C"/>
    <w:pPr>
      <w:spacing w:before="60" w:after="60" w:line="170" w:lineRule="atLeast"/>
      <w:jc w:val="both"/>
    </w:pPr>
    <w:rPr>
      <w:rFonts w:ascii="Arial" w:eastAsia="MS Mincho" w:hAnsi="Arial" w:cs="Times New Roman"/>
      <w:sz w:val="14"/>
      <w:szCs w:val="20"/>
      <w:lang w:eastAsia="fr-FR"/>
    </w:rPr>
  </w:style>
  <w:style w:type="paragraph" w:customStyle="1" w:styleId="Tabletext8">
    <w:name w:val="Table text (8)"/>
    <w:basedOn w:val="Normal"/>
    <w:rsid w:val="008C7F3C"/>
    <w:pPr>
      <w:spacing w:before="60" w:after="60" w:line="190" w:lineRule="atLeast"/>
      <w:jc w:val="both"/>
    </w:pPr>
    <w:rPr>
      <w:rFonts w:ascii="Arial" w:eastAsia="MS Mincho" w:hAnsi="Arial" w:cs="Times New Roman"/>
      <w:sz w:val="16"/>
      <w:szCs w:val="20"/>
      <w:lang w:eastAsia="fr-FR"/>
    </w:rPr>
  </w:style>
  <w:style w:type="paragraph" w:customStyle="1" w:styleId="Tabletext9">
    <w:name w:val="Table text (9)"/>
    <w:basedOn w:val="Normal"/>
    <w:rsid w:val="008C7F3C"/>
    <w:pPr>
      <w:spacing w:before="60" w:after="60" w:line="210" w:lineRule="atLeast"/>
      <w:jc w:val="both"/>
    </w:pPr>
    <w:rPr>
      <w:rFonts w:ascii="Arial" w:eastAsia="MS Mincho" w:hAnsi="Arial" w:cs="Times New Roman"/>
      <w:sz w:val="18"/>
      <w:szCs w:val="20"/>
      <w:lang w:eastAsia="fr-FR"/>
    </w:rPr>
  </w:style>
  <w:style w:type="paragraph" w:customStyle="1" w:styleId="Tabletitle">
    <w:name w:val="Table title"/>
    <w:basedOn w:val="Normal"/>
    <w:next w:val="Normal"/>
    <w:rsid w:val="008C7F3C"/>
    <w:pPr>
      <w:keepNext/>
      <w:suppressAutoHyphens/>
      <w:spacing w:before="120" w:after="120" w:line="230" w:lineRule="exact"/>
      <w:jc w:val="center"/>
    </w:pPr>
    <w:rPr>
      <w:rFonts w:ascii="Arial" w:eastAsia="MS Mincho" w:hAnsi="Arial" w:cs="Times New Roman"/>
      <w:b/>
      <w:sz w:val="20"/>
      <w:szCs w:val="20"/>
      <w:lang w:eastAsia="fr-FR"/>
    </w:rPr>
  </w:style>
  <w:style w:type="character" w:customStyle="1" w:styleId="TableFootNoteXref">
    <w:name w:val="TableFootNoteXref"/>
    <w:rsid w:val="008C7F3C"/>
    <w:rPr>
      <w:noProof/>
      <w:position w:val="6"/>
      <w:sz w:val="14"/>
      <w:lang w:val="fr-FR"/>
    </w:rPr>
  </w:style>
  <w:style w:type="paragraph" w:customStyle="1" w:styleId="Terms">
    <w:name w:val="Term(s)"/>
    <w:basedOn w:val="Normal"/>
    <w:next w:val="Definition"/>
    <w:rsid w:val="008C7F3C"/>
    <w:pPr>
      <w:keepNext/>
      <w:suppressAutoHyphens/>
      <w:spacing w:after="0" w:line="230" w:lineRule="atLeast"/>
    </w:pPr>
    <w:rPr>
      <w:rFonts w:ascii="Arial" w:eastAsia="MS Mincho" w:hAnsi="Arial" w:cs="Times New Roman"/>
      <w:b/>
      <w:sz w:val="20"/>
      <w:szCs w:val="20"/>
      <w:lang w:eastAsia="fr-FR"/>
    </w:rPr>
  </w:style>
  <w:style w:type="paragraph" w:customStyle="1" w:styleId="TermNum">
    <w:name w:val="TermNum"/>
    <w:basedOn w:val="Normal"/>
    <w:next w:val="Terms"/>
    <w:rsid w:val="008C7F3C"/>
    <w:pPr>
      <w:keepNext/>
      <w:spacing w:after="0" w:line="230" w:lineRule="atLeast"/>
      <w:jc w:val="both"/>
    </w:pPr>
    <w:rPr>
      <w:rFonts w:ascii="Arial" w:eastAsia="MS Mincho" w:hAnsi="Arial" w:cs="Times New Roman"/>
      <w:b/>
      <w:sz w:val="20"/>
      <w:szCs w:val="20"/>
      <w:lang w:eastAsia="fr-FR"/>
    </w:rPr>
  </w:style>
  <w:style w:type="paragraph" w:styleId="Textebrut">
    <w:name w:val="Plain Text"/>
    <w:basedOn w:val="Normal"/>
    <w:link w:val="TextebrutCar"/>
    <w:rsid w:val="008C7F3C"/>
    <w:pPr>
      <w:spacing w:after="240" w:line="230" w:lineRule="atLeast"/>
      <w:jc w:val="both"/>
    </w:pPr>
    <w:rPr>
      <w:rFonts w:ascii="Courier New" w:eastAsia="MS Mincho" w:hAnsi="Courier New" w:cs="Times New Roman"/>
      <w:sz w:val="20"/>
      <w:szCs w:val="20"/>
      <w:lang w:eastAsia="fr-FR"/>
    </w:rPr>
  </w:style>
  <w:style w:type="character" w:customStyle="1" w:styleId="TextebrutCar">
    <w:name w:val="Texte brut Car"/>
    <w:basedOn w:val="Policepardfaut"/>
    <w:link w:val="Textebrut"/>
    <w:rsid w:val="008C7F3C"/>
    <w:rPr>
      <w:rFonts w:ascii="Courier New" w:eastAsia="MS Mincho" w:hAnsi="Courier New" w:cs="Times New Roman"/>
      <w:sz w:val="20"/>
      <w:szCs w:val="20"/>
      <w:lang w:eastAsia="fr-FR"/>
    </w:rPr>
  </w:style>
  <w:style w:type="paragraph" w:styleId="Textedemacro">
    <w:name w:val="macro"/>
    <w:link w:val="TextedemacroCar"/>
    <w:semiHidden/>
    <w:rsid w:val="008C7F3C"/>
    <w:pPr>
      <w:tabs>
        <w:tab w:val="left" w:pos="480"/>
        <w:tab w:val="left" w:pos="960"/>
        <w:tab w:val="left" w:pos="1440"/>
        <w:tab w:val="left" w:pos="1920"/>
        <w:tab w:val="left" w:pos="2400"/>
        <w:tab w:val="left" w:pos="2880"/>
        <w:tab w:val="left" w:pos="3360"/>
        <w:tab w:val="left" w:pos="3840"/>
        <w:tab w:val="left" w:pos="4320"/>
      </w:tabs>
      <w:spacing w:after="240" w:line="230" w:lineRule="atLeast"/>
      <w:jc w:val="both"/>
    </w:pPr>
    <w:rPr>
      <w:rFonts w:ascii="Courier New" w:eastAsia="MS Mincho" w:hAnsi="Courier New" w:cs="Times New Roman"/>
      <w:sz w:val="20"/>
      <w:szCs w:val="20"/>
      <w:lang w:eastAsia="ja-JP"/>
    </w:rPr>
  </w:style>
  <w:style w:type="character" w:customStyle="1" w:styleId="TextedemacroCar">
    <w:name w:val="Texte de macro Car"/>
    <w:basedOn w:val="Policepardfaut"/>
    <w:link w:val="Textedemacro"/>
    <w:semiHidden/>
    <w:rsid w:val="008C7F3C"/>
    <w:rPr>
      <w:rFonts w:ascii="Courier New" w:eastAsia="MS Mincho" w:hAnsi="Courier New" w:cs="Times New Roman"/>
      <w:sz w:val="20"/>
      <w:szCs w:val="20"/>
      <w:lang w:eastAsia="ja-JP"/>
    </w:rPr>
  </w:style>
  <w:style w:type="paragraph" w:styleId="Titre">
    <w:name w:val="Title"/>
    <w:basedOn w:val="Normal"/>
    <w:link w:val="TitreCar"/>
    <w:qFormat/>
    <w:rsid w:val="008C7F3C"/>
    <w:pPr>
      <w:spacing w:before="240" w:after="60" w:line="230" w:lineRule="atLeast"/>
      <w:jc w:val="center"/>
      <w:outlineLvl w:val="0"/>
    </w:pPr>
    <w:rPr>
      <w:rFonts w:ascii="Arial" w:eastAsia="MS Mincho" w:hAnsi="Arial" w:cs="Times New Roman"/>
      <w:b/>
      <w:kern w:val="28"/>
      <w:sz w:val="32"/>
      <w:szCs w:val="20"/>
      <w:lang w:eastAsia="fr-FR"/>
    </w:rPr>
  </w:style>
  <w:style w:type="character" w:customStyle="1" w:styleId="TitreCar">
    <w:name w:val="Titre Car"/>
    <w:basedOn w:val="Policepardfaut"/>
    <w:link w:val="Titre"/>
    <w:rsid w:val="008C7F3C"/>
    <w:rPr>
      <w:rFonts w:ascii="Arial" w:eastAsia="MS Mincho" w:hAnsi="Arial" w:cs="Times New Roman"/>
      <w:b/>
      <w:kern w:val="28"/>
      <w:sz w:val="32"/>
      <w:szCs w:val="20"/>
      <w:lang w:eastAsia="fr-FR"/>
    </w:rPr>
  </w:style>
  <w:style w:type="paragraph" w:styleId="Titredenote">
    <w:name w:val="Note Heading"/>
    <w:basedOn w:val="Normal"/>
    <w:next w:val="Normal"/>
    <w:link w:val="TitredenoteCar"/>
    <w:rsid w:val="008C7F3C"/>
    <w:pPr>
      <w:spacing w:after="240" w:line="230" w:lineRule="atLeast"/>
      <w:jc w:val="both"/>
    </w:pPr>
    <w:rPr>
      <w:rFonts w:ascii="Arial" w:eastAsia="MS Mincho" w:hAnsi="Arial" w:cs="Times New Roman"/>
      <w:sz w:val="20"/>
      <w:szCs w:val="20"/>
      <w:lang w:eastAsia="fr-FR"/>
    </w:rPr>
  </w:style>
  <w:style w:type="character" w:customStyle="1" w:styleId="TitredenoteCar">
    <w:name w:val="Titre de note Car"/>
    <w:basedOn w:val="Policepardfaut"/>
    <w:link w:val="Titredenote"/>
    <w:rsid w:val="008C7F3C"/>
    <w:rPr>
      <w:rFonts w:ascii="Arial" w:eastAsia="MS Mincho" w:hAnsi="Arial" w:cs="Times New Roman"/>
      <w:sz w:val="20"/>
      <w:szCs w:val="20"/>
      <w:lang w:eastAsia="fr-FR"/>
    </w:rPr>
  </w:style>
  <w:style w:type="paragraph" w:styleId="Titreindex">
    <w:name w:val="index heading"/>
    <w:basedOn w:val="Normal"/>
    <w:next w:val="Index1"/>
    <w:semiHidden/>
    <w:rsid w:val="008C7F3C"/>
    <w:pPr>
      <w:keepNext/>
      <w:spacing w:before="400" w:after="210" w:line="230" w:lineRule="atLeast"/>
      <w:jc w:val="center"/>
    </w:pPr>
    <w:rPr>
      <w:rFonts w:ascii="Arial" w:eastAsia="MS Mincho" w:hAnsi="Arial" w:cs="Times New Roman"/>
      <w:sz w:val="20"/>
      <w:szCs w:val="20"/>
      <w:lang w:eastAsia="fr-FR"/>
    </w:rPr>
  </w:style>
  <w:style w:type="paragraph" w:styleId="TitreTR">
    <w:name w:val="toa heading"/>
    <w:basedOn w:val="Normal"/>
    <w:next w:val="Normal"/>
    <w:semiHidden/>
    <w:rsid w:val="008C7F3C"/>
    <w:pPr>
      <w:spacing w:before="120" w:after="240" w:line="230" w:lineRule="atLeast"/>
      <w:jc w:val="both"/>
    </w:pPr>
    <w:rPr>
      <w:rFonts w:ascii="Arial" w:eastAsia="MS Mincho" w:hAnsi="Arial" w:cs="Times New Roman"/>
      <w:b/>
      <w:sz w:val="24"/>
      <w:szCs w:val="20"/>
      <w:lang w:eastAsia="fr-FR"/>
    </w:rPr>
  </w:style>
  <w:style w:type="paragraph" w:styleId="TM1">
    <w:name w:val="toc 1"/>
    <w:basedOn w:val="Normal"/>
    <w:next w:val="Normal"/>
    <w:uiPriority w:val="39"/>
    <w:qFormat/>
    <w:rsid w:val="008C7F3C"/>
    <w:pPr>
      <w:spacing w:before="120" w:after="0"/>
    </w:pPr>
    <w:rPr>
      <w:b/>
      <w:bCs/>
      <w:i/>
      <w:iCs/>
      <w:sz w:val="24"/>
      <w:szCs w:val="24"/>
    </w:rPr>
  </w:style>
  <w:style w:type="paragraph" w:styleId="TM2">
    <w:name w:val="toc 2"/>
    <w:basedOn w:val="TM1"/>
    <w:next w:val="Normal"/>
    <w:uiPriority w:val="39"/>
    <w:qFormat/>
    <w:rsid w:val="008C7F3C"/>
    <w:pPr>
      <w:ind w:left="220"/>
    </w:pPr>
    <w:rPr>
      <w:i w:val="0"/>
      <w:iCs w:val="0"/>
      <w:sz w:val="22"/>
      <w:szCs w:val="22"/>
    </w:rPr>
  </w:style>
  <w:style w:type="paragraph" w:styleId="TM3">
    <w:name w:val="toc 3"/>
    <w:basedOn w:val="TM2"/>
    <w:next w:val="Normal"/>
    <w:uiPriority w:val="39"/>
    <w:qFormat/>
    <w:rsid w:val="008C7F3C"/>
    <w:pPr>
      <w:spacing w:before="0"/>
      <w:ind w:left="440"/>
    </w:pPr>
    <w:rPr>
      <w:b w:val="0"/>
      <w:bCs w:val="0"/>
      <w:sz w:val="20"/>
      <w:szCs w:val="20"/>
    </w:rPr>
  </w:style>
  <w:style w:type="paragraph" w:styleId="TM4">
    <w:name w:val="toc 4"/>
    <w:basedOn w:val="TM2"/>
    <w:next w:val="Normal"/>
    <w:uiPriority w:val="39"/>
    <w:rsid w:val="008C7F3C"/>
    <w:pPr>
      <w:spacing w:before="0"/>
      <w:ind w:left="660"/>
    </w:pPr>
    <w:rPr>
      <w:b w:val="0"/>
      <w:bCs w:val="0"/>
      <w:sz w:val="20"/>
      <w:szCs w:val="20"/>
    </w:rPr>
  </w:style>
  <w:style w:type="paragraph" w:styleId="TM5">
    <w:name w:val="toc 5"/>
    <w:basedOn w:val="TM4"/>
    <w:next w:val="Normal"/>
    <w:uiPriority w:val="39"/>
    <w:rsid w:val="008C7F3C"/>
    <w:pPr>
      <w:ind w:left="880"/>
    </w:pPr>
  </w:style>
  <w:style w:type="paragraph" w:styleId="TM6">
    <w:name w:val="toc 6"/>
    <w:basedOn w:val="TM4"/>
    <w:next w:val="Normal"/>
    <w:uiPriority w:val="39"/>
    <w:rsid w:val="008C7F3C"/>
    <w:pPr>
      <w:ind w:left="1100"/>
    </w:pPr>
  </w:style>
  <w:style w:type="paragraph" w:styleId="TM7">
    <w:name w:val="toc 7"/>
    <w:basedOn w:val="TM4"/>
    <w:next w:val="Normal"/>
    <w:uiPriority w:val="39"/>
    <w:rsid w:val="008C7F3C"/>
    <w:pPr>
      <w:ind w:left="1320"/>
    </w:pPr>
  </w:style>
  <w:style w:type="paragraph" w:styleId="TM8">
    <w:name w:val="toc 8"/>
    <w:basedOn w:val="TM4"/>
    <w:next w:val="Normal"/>
    <w:uiPriority w:val="39"/>
    <w:rsid w:val="008C7F3C"/>
    <w:pPr>
      <w:ind w:left="1540"/>
    </w:pPr>
  </w:style>
  <w:style w:type="paragraph" w:styleId="TM9">
    <w:name w:val="toc 9"/>
    <w:basedOn w:val="TM1"/>
    <w:next w:val="Normal"/>
    <w:uiPriority w:val="39"/>
    <w:rsid w:val="008C7F3C"/>
    <w:pPr>
      <w:spacing w:before="0"/>
      <w:ind w:left="1760"/>
    </w:pPr>
    <w:rPr>
      <w:b w:val="0"/>
      <w:bCs w:val="0"/>
      <w:i w:val="0"/>
      <w:iCs w:val="0"/>
      <w:sz w:val="20"/>
      <w:szCs w:val="20"/>
    </w:rPr>
  </w:style>
  <w:style w:type="paragraph" w:customStyle="1" w:styleId="zzBiblio">
    <w:name w:val="zzBiblio"/>
    <w:basedOn w:val="Normal"/>
    <w:next w:val="Bibliographie1"/>
    <w:rsid w:val="008C7F3C"/>
    <w:pPr>
      <w:pageBreakBefore/>
      <w:spacing w:after="760" w:line="310" w:lineRule="exact"/>
      <w:jc w:val="center"/>
    </w:pPr>
    <w:rPr>
      <w:rFonts w:ascii="Arial" w:eastAsia="MS Mincho" w:hAnsi="Arial" w:cs="Times New Roman"/>
      <w:b/>
      <w:sz w:val="28"/>
      <w:szCs w:val="20"/>
      <w:lang w:eastAsia="fr-FR"/>
    </w:rPr>
  </w:style>
  <w:style w:type="paragraph" w:customStyle="1" w:styleId="zzContents">
    <w:name w:val="zzContents"/>
    <w:basedOn w:val="Introduction"/>
    <w:next w:val="TM1"/>
    <w:rsid w:val="008C7F3C"/>
    <w:pPr>
      <w:tabs>
        <w:tab w:val="clear" w:pos="400"/>
      </w:tabs>
    </w:pPr>
  </w:style>
  <w:style w:type="paragraph" w:customStyle="1" w:styleId="zzCopyright">
    <w:name w:val="zzCopyright"/>
    <w:basedOn w:val="Normal"/>
    <w:next w:val="Normal"/>
    <w:rsid w:val="008C7F3C"/>
    <w:pPr>
      <w:pBdr>
        <w:top w:val="single" w:sz="4" w:space="1" w:color="0000FF"/>
        <w:left w:val="single" w:sz="4" w:space="4" w:color="0000FF"/>
        <w:bottom w:val="single" w:sz="4" w:space="1" w:color="0000FF"/>
        <w:right w:val="single" w:sz="4" w:space="4" w:color="0000FF"/>
      </w:pBdr>
      <w:tabs>
        <w:tab w:val="left" w:pos="514"/>
        <w:tab w:val="left" w:pos="9623"/>
      </w:tabs>
      <w:spacing w:after="240" w:line="230" w:lineRule="atLeast"/>
      <w:ind w:left="284" w:right="284"/>
      <w:jc w:val="both"/>
    </w:pPr>
    <w:rPr>
      <w:rFonts w:ascii="Arial" w:eastAsia="MS Mincho" w:hAnsi="Arial" w:cs="Times New Roman"/>
      <w:color w:val="0000FF"/>
      <w:sz w:val="20"/>
      <w:szCs w:val="20"/>
      <w:lang w:eastAsia="fr-FR"/>
    </w:rPr>
  </w:style>
  <w:style w:type="paragraph" w:customStyle="1" w:styleId="zzCover">
    <w:name w:val="zzCover"/>
    <w:basedOn w:val="Normal"/>
    <w:rsid w:val="008C7F3C"/>
    <w:pPr>
      <w:spacing w:after="220" w:line="230" w:lineRule="atLeast"/>
      <w:jc w:val="right"/>
    </w:pPr>
    <w:rPr>
      <w:rFonts w:ascii="Arial" w:eastAsia="MS Mincho" w:hAnsi="Arial" w:cs="Times New Roman"/>
      <w:b/>
      <w:color w:val="000000"/>
      <w:sz w:val="24"/>
      <w:szCs w:val="20"/>
      <w:lang w:eastAsia="fr-FR"/>
    </w:rPr>
  </w:style>
  <w:style w:type="paragraph" w:customStyle="1" w:styleId="zzForeword">
    <w:name w:val="zzForeword"/>
    <w:basedOn w:val="Introduction"/>
    <w:next w:val="Normal"/>
    <w:rsid w:val="008C7F3C"/>
    <w:pPr>
      <w:tabs>
        <w:tab w:val="clear" w:pos="400"/>
      </w:tabs>
    </w:pPr>
    <w:rPr>
      <w:color w:val="0000FF"/>
    </w:rPr>
  </w:style>
  <w:style w:type="paragraph" w:customStyle="1" w:styleId="zzHelp">
    <w:name w:val="zzHelp"/>
    <w:basedOn w:val="Normal"/>
    <w:rsid w:val="008C7F3C"/>
    <w:pPr>
      <w:spacing w:after="240" w:line="230" w:lineRule="atLeast"/>
      <w:jc w:val="both"/>
    </w:pPr>
    <w:rPr>
      <w:rFonts w:ascii="Arial" w:eastAsia="MS Mincho" w:hAnsi="Arial" w:cs="Times New Roman"/>
      <w:color w:val="008000"/>
      <w:sz w:val="20"/>
      <w:szCs w:val="20"/>
      <w:lang w:eastAsia="fr-FR"/>
    </w:rPr>
  </w:style>
  <w:style w:type="paragraph" w:customStyle="1" w:styleId="zzIndex">
    <w:name w:val="zzIndex"/>
    <w:basedOn w:val="zzBiblio"/>
    <w:next w:val="Titreindex"/>
    <w:rsid w:val="008C7F3C"/>
  </w:style>
  <w:style w:type="paragraph" w:customStyle="1" w:styleId="zzLc5">
    <w:name w:val="zzLc5"/>
    <w:basedOn w:val="Normal"/>
    <w:next w:val="Normal"/>
    <w:rsid w:val="008C7F3C"/>
    <w:pPr>
      <w:spacing w:after="240" w:line="230" w:lineRule="atLeast"/>
    </w:pPr>
    <w:rPr>
      <w:rFonts w:ascii="Arial" w:eastAsia="MS Mincho" w:hAnsi="Arial" w:cs="Times New Roman"/>
      <w:sz w:val="20"/>
      <w:szCs w:val="20"/>
      <w:lang w:eastAsia="fr-FR"/>
    </w:rPr>
  </w:style>
  <w:style w:type="paragraph" w:customStyle="1" w:styleId="zzLc6">
    <w:name w:val="zzLc6"/>
    <w:basedOn w:val="Normal"/>
    <w:next w:val="Normal"/>
    <w:rsid w:val="008C7F3C"/>
    <w:pPr>
      <w:spacing w:after="240" w:line="230" w:lineRule="atLeast"/>
    </w:pPr>
    <w:rPr>
      <w:rFonts w:ascii="Arial" w:eastAsia="MS Mincho" w:hAnsi="Arial" w:cs="Times New Roman"/>
      <w:sz w:val="20"/>
      <w:szCs w:val="20"/>
      <w:lang w:eastAsia="fr-FR"/>
    </w:rPr>
  </w:style>
  <w:style w:type="paragraph" w:customStyle="1" w:styleId="zzLn5">
    <w:name w:val="zzLn5"/>
    <w:basedOn w:val="Normal"/>
    <w:next w:val="Normal"/>
    <w:rsid w:val="008C7F3C"/>
    <w:pPr>
      <w:spacing w:after="240" w:line="230" w:lineRule="atLeast"/>
    </w:pPr>
    <w:rPr>
      <w:rFonts w:ascii="Arial" w:eastAsia="MS Mincho" w:hAnsi="Arial" w:cs="Times New Roman"/>
      <w:sz w:val="20"/>
      <w:szCs w:val="20"/>
      <w:lang w:eastAsia="fr-FR"/>
    </w:rPr>
  </w:style>
  <w:style w:type="paragraph" w:customStyle="1" w:styleId="zzLn6">
    <w:name w:val="zzLn6"/>
    <w:basedOn w:val="Normal"/>
    <w:next w:val="Normal"/>
    <w:rsid w:val="008C7F3C"/>
    <w:pPr>
      <w:spacing w:after="240" w:line="230" w:lineRule="atLeast"/>
    </w:pPr>
    <w:rPr>
      <w:rFonts w:ascii="Arial" w:eastAsia="MS Mincho" w:hAnsi="Arial" w:cs="Times New Roman"/>
      <w:sz w:val="20"/>
      <w:szCs w:val="20"/>
      <w:lang w:eastAsia="fr-FR"/>
    </w:rPr>
  </w:style>
  <w:style w:type="paragraph" w:customStyle="1" w:styleId="zzSTDTitle">
    <w:name w:val="zzSTDTitle"/>
    <w:basedOn w:val="Normal"/>
    <w:next w:val="Normal"/>
    <w:rsid w:val="008C7F3C"/>
    <w:pPr>
      <w:suppressAutoHyphens/>
      <w:spacing w:before="400" w:after="760" w:line="350" w:lineRule="exact"/>
    </w:pPr>
    <w:rPr>
      <w:rFonts w:ascii="Arial" w:eastAsia="MS Mincho" w:hAnsi="Arial" w:cs="Times New Roman"/>
      <w:b/>
      <w:color w:val="0000FF"/>
      <w:sz w:val="32"/>
      <w:szCs w:val="20"/>
      <w:lang w:eastAsia="fr-FR"/>
    </w:rPr>
  </w:style>
  <w:style w:type="paragraph" w:styleId="AdresseHTML">
    <w:name w:val="HTML Address"/>
    <w:basedOn w:val="Normal"/>
    <w:link w:val="AdresseHTMLCar"/>
    <w:rsid w:val="008C7F3C"/>
    <w:pPr>
      <w:spacing w:after="240" w:line="230" w:lineRule="atLeast"/>
      <w:jc w:val="both"/>
    </w:pPr>
    <w:rPr>
      <w:rFonts w:ascii="Arial" w:eastAsia="MS Mincho" w:hAnsi="Arial" w:cs="Times New Roman"/>
      <w:i/>
      <w:iCs/>
      <w:sz w:val="20"/>
      <w:szCs w:val="20"/>
      <w:lang w:eastAsia="fr-FR"/>
    </w:rPr>
  </w:style>
  <w:style w:type="character" w:customStyle="1" w:styleId="AdresseHTMLCar">
    <w:name w:val="Adresse HTML Car"/>
    <w:basedOn w:val="Policepardfaut"/>
    <w:link w:val="AdresseHTML"/>
    <w:rsid w:val="008C7F3C"/>
    <w:rPr>
      <w:rFonts w:ascii="Arial" w:eastAsia="MS Mincho" w:hAnsi="Arial" w:cs="Times New Roman"/>
      <w:i/>
      <w:iCs/>
      <w:sz w:val="20"/>
      <w:szCs w:val="20"/>
      <w:lang w:eastAsia="fr-FR"/>
    </w:rPr>
  </w:style>
  <w:style w:type="paragraph" w:styleId="Bibliographie">
    <w:name w:val="Bibliography"/>
    <w:basedOn w:val="Normal"/>
    <w:next w:val="Normal"/>
    <w:uiPriority w:val="37"/>
    <w:semiHidden/>
    <w:unhideWhenUsed/>
    <w:rsid w:val="008C7F3C"/>
    <w:pPr>
      <w:spacing w:after="240" w:line="230" w:lineRule="atLeast"/>
      <w:jc w:val="both"/>
    </w:pPr>
    <w:rPr>
      <w:rFonts w:ascii="Arial" w:eastAsia="MS Mincho" w:hAnsi="Arial" w:cs="Times New Roman"/>
      <w:sz w:val="20"/>
      <w:szCs w:val="20"/>
      <w:lang w:eastAsia="fr-FR"/>
    </w:rPr>
  </w:style>
  <w:style w:type="paragraph" w:styleId="Citation">
    <w:name w:val="Quote"/>
    <w:basedOn w:val="Normal"/>
    <w:next w:val="Normal"/>
    <w:link w:val="CitationCar"/>
    <w:uiPriority w:val="29"/>
    <w:qFormat/>
    <w:rsid w:val="008C7F3C"/>
    <w:pPr>
      <w:spacing w:after="240" w:line="230" w:lineRule="atLeast"/>
      <w:jc w:val="both"/>
    </w:pPr>
    <w:rPr>
      <w:rFonts w:ascii="Arial" w:eastAsia="MS Mincho" w:hAnsi="Arial" w:cs="Times New Roman"/>
      <w:i/>
      <w:iCs/>
      <w:color w:val="000000"/>
      <w:sz w:val="20"/>
      <w:szCs w:val="20"/>
      <w:lang w:eastAsia="fr-FR"/>
    </w:rPr>
  </w:style>
  <w:style w:type="character" w:customStyle="1" w:styleId="CitationCar">
    <w:name w:val="Citation Car"/>
    <w:basedOn w:val="Policepardfaut"/>
    <w:link w:val="Citation"/>
    <w:uiPriority w:val="29"/>
    <w:rsid w:val="008C7F3C"/>
    <w:rPr>
      <w:rFonts w:ascii="Arial" w:eastAsia="MS Mincho" w:hAnsi="Arial" w:cs="Times New Roman"/>
      <w:i/>
      <w:iCs/>
      <w:color w:val="000000"/>
      <w:sz w:val="20"/>
      <w:szCs w:val="20"/>
      <w:lang w:eastAsia="fr-FR"/>
    </w:rPr>
  </w:style>
  <w:style w:type="paragraph" w:styleId="Citationintense">
    <w:name w:val="Intense Quote"/>
    <w:basedOn w:val="Normal"/>
    <w:next w:val="Normal"/>
    <w:link w:val="CitationintenseCar"/>
    <w:uiPriority w:val="30"/>
    <w:qFormat/>
    <w:rsid w:val="008C7F3C"/>
    <w:pPr>
      <w:pBdr>
        <w:bottom w:val="single" w:sz="4" w:space="4" w:color="4F81BD"/>
      </w:pBdr>
      <w:spacing w:before="200" w:after="280" w:line="230" w:lineRule="atLeast"/>
      <w:ind w:left="936" w:right="936"/>
      <w:jc w:val="both"/>
    </w:pPr>
    <w:rPr>
      <w:rFonts w:ascii="Arial" w:eastAsia="MS Mincho" w:hAnsi="Arial" w:cs="Times New Roman"/>
      <w:b/>
      <w:bCs/>
      <w:i/>
      <w:iCs/>
      <w:color w:val="4F81BD"/>
      <w:sz w:val="20"/>
      <w:szCs w:val="20"/>
      <w:lang w:eastAsia="fr-FR"/>
    </w:rPr>
  </w:style>
  <w:style w:type="character" w:customStyle="1" w:styleId="CitationintenseCar">
    <w:name w:val="Citation intense Car"/>
    <w:basedOn w:val="Policepardfaut"/>
    <w:link w:val="Citationintense"/>
    <w:uiPriority w:val="30"/>
    <w:rsid w:val="008C7F3C"/>
    <w:rPr>
      <w:rFonts w:ascii="Arial" w:eastAsia="MS Mincho" w:hAnsi="Arial" w:cs="Times New Roman"/>
      <w:b/>
      <w:bCs/>
      <w:i/>
      <w:iCs/>
      <w:color w:val="4F81BD"/>
      <w:sz w:val="20"/>
      <w:szCs w:val="20"/>
      <w:lang w:eastAsia="fr-FR"/>
    </w:rPr>
  </w:style>
  <w:style w:type="table" w:styleId="Colonnesdetableau1">
    <w:name w:val="Table Columns 1"/>
    <w:basedOn w:val="TableauNormal"/>
    <w:rsid w:val="008C7F3C"/>
    <w:pPr>
      <w:spacing w:after="240" w:line="230" w:lineRule="atLeast"/>
      <w:jc w:val="both"/>
    </w:pPr>
    <w:rPr>
      <w:rFonts w:ascii="Times New Roman" w:eastAsia="Times New Roman" w:hAnsi="Times New Roman" w:cs="Times New Roman"/>
      <w:b/>
      <w:bCs/>
      <w:sz w:val="20"/>
      <w:szCs w:val="20"/>
      <w:lang w:val="fr-CA" w:eastAsia="fr-CA"/>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8C7F3C"/>
    <w:pPr>
      <w:spacing w:after="240" w:line="230" w:lineRule="atLeast"/>
      <w:jc w:val="both"/>
    </w:pPr>
    <w:rPr>
      <w:rFonts w:ascii="Times New Roman" w:eastAsia="Times New Roman" w:hAnsi="Times New Roman" w:cs="Times New Roman"/>
      <w:b/>
      <w:bCs/>
      <w:sz w:val="20"/>
      <w:szCs w:val="20"/>
      <w:lang w:val="fr-CA" w:eastAsia="fr-CA"/>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8C7F3C"/>
    <w:pPr>
      <w:spacing w:after="240" w:line="230" w:lineRule="atLeast"/>
      <w:jc w:val="both"/>
    </w:pPr>
    <w:rPr>
      <w:rFonts w:ascii="Times New Roman" w:eastAsia="Times New Roman" w:hAnsi="Times New Roman" w:cs="Times New Roman"/>
      <w:b/>
      <w:bCs/>
      <w:sz w:val="20"/>
      <w:szCs w:val="20"/>
      <w:lang w:val="fr-CA" w:eastAsia="fr-CA"/>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ffetsdetableau3D1">
    <w:name w:val="Table 3D effects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En-ttedetabledesmatires">
    <w:name w:val="TOC Heading"/>
    <w:basedOn w:val="Titre1"/>
    <w:next w:val="Normal"/>
    <w:uiPriority w:val="39"/>
    <w:semiHidden/>
    <w:unhideWhenUsed/>
    <w:qFormat/>
    <w:rsid w:val="008C7F3C"/>
    <w:pPr>
      <w:spacing w:before="240" w:after="60" w:line="230" w:lineRule="atLeast"/>
      <w:jc w:val="both"/>
      <w:outlineLvl w:val="9"/>
    </w:pPr>
    <w:rPr>
      <w:rFonts w:ascii="Cambria" w:hAnsi="Cambria"/>
      <w:kern w:val="32"/>
      <w:sz w:val="32"/>
      <w:szCs w:val="32"/>
    </w:rPr>
  </w:style>
  <w:style w:type="table" w:styleId="Grilleclaire">
    <w:name w:val="Light Grid"/>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Grillecouleur">
    <w:name w:val="Colorful Grid"/>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Grilledetableau1">
    <w:name w:val="Table Grid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8C7F3C"/>
    <w:pPr>
      <w:spacing w:after="240" w:line="230" w:lineRule="atLeast"/>
      <w:jc w:val="both"/>
    </w:pPr>
    <w:rPr>
      <w:rFonts w:ascii="Times New Roman" w:eastAsia="Times New Roman" w:hAnsi="Times New Roman" w:cs="Times New Roman"/>
      <w:b/>
      <w:bCs/>
      <w:sz w:val="20"/>
      <w:szCs w:val="20"/>
      <w:lang w:val="fr-CA" w:eastAsia="fr-C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llemoyenne1">
    <w:name w:val="Medium Grid 1"/>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claire">
    <w:name w:val="Light List"/>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ecouleur">
    <w:name w:val="Colorful List"/>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Listefonce">
    <w:name w:val="Dark List"/>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8C7F3C"/>
    <w:pPr>
      <w:spacing w:after="0" w:line="240" w:lineRule="auto"/>
    </w:pPr>
    <w:rPr>
      <w:rFonts w:ascii="Times New Roman" w:eastAsia="Times New Roman" w:hAnsi="Times New Roman" w:cs="Times New Roman"/>
      <w:color w:val="FFFFFF"/>
      <w:sz w:val="20"/>
      <w:szCs w:val="20"/>
      <w:lang w:val="fr-CA" w:eastAsia="fr-CA"/>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stemoyenne1">
    <w:name w:val="Medium List 1"/>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8C7F3C"/>
    <w:pPr>
      <w:spacing w:after="0" w:line="240" w:lineRule="auto"/>
    </w:pPr>
    <w:rPr>
      <w:rFonts w:ascii="Cambria" w:eastAsia="Times New Roman" w:hAnsi="Cambria" w:cs="Times New Roman"/>
      <w:color w:val="000000"/>
      <w:sz w:val="20"/>
      <w:szCs w:val="20"/>
      <w:lang w:val="fr-CA" w:eastAsia="fr-CA"/>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styleId="NormalWeb">
    <w:name w:val="Normal (Web)"/>
    <w:basedOn w:val="Normal"/>
    <w:rsid w:val="008C7F3C"/>
    <w:pPr>
      <w:spacing w:after="240" w:line="230" w:lineRule="atLeast"/>
      <w:jc w:val="both"/>
    </w:pPr>
    <w:rPr>
      <w:rFonts w:ascii="Times New Roman" w:eastAsia="MS Mincho" w:hAnsi="Times New Roman" w:cs="Times New Roman"/>
      <w:sz w:val="24"/>
      <w:szCs w:val="24"/>
      <w:lang w:eastAsia="fr-FR"/>
    </w:rPr>
  </w:style>
  <w:style w:type="paragraph" w:styleId="Objetducommentaire">
    <w:name w:val="annotation subject"/>
    <w:basedOn w:val="Commentaire"/>
    <w:next w:val="Commentaire"/>
    <w:link w:val="ObjetducommentaireCar"/>
    <w:rsid w:val="008C7F3C"/>
    <w:rPr>
      <w:b/>
      <w:bCs/>
    </w:rPr>
  </w:style>
  <w:style w:type="character" w:customStyle="1" w:styleId="ObjetducommentaireCar">
    <w:name w:val="Objet du commentaire Car"/>
    <w:basedOn w:val="CommentaireCar"/>
    <w:link w:val="Objetducommentaire"/>
    <w:rsid w:val="008C7F3C"/>
    <w:rPr>
      <w:rFonts w:ascii="Arial" w:eastAsia="MS Mincho" w:hAnsi="Arial" w:cs="Times New Roman"/>
      <w:b/>
      <w:bCs/>
      <w:sz w:val="20"/>
      <w:szCs w:val="20"/>
      <w:lang w:eastAsia="fr-FR"/>
    </w:rPr>
  </w:style>
  <w:style w:type="table" w:styleId="Ombrageclair">
    <w:name w:val="Light Shading"/>
    <w:basedOn w:val="TableauNormal"/>
    <w:uiPriority w:val="60"/>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PrformatHTML">
    <w:name w:val="HTML Preformatted"/>
    <w:basedOn w:val="Normal"/>
    <w:link w:val="PrformatHTMLCar"/>
    <w:rsid w:val="008C7F3C"/>
    <w:pPr>
      <w:spacing w:after="240" w:line="230" w:lineRule="atLeast"/>
      <w:jc w:val="both"/>
    </w:pPr>
    <w:rPr>
      <w:rFonts w:ascii="Courier New" w:eastAsia="MS Mincho" w:hAnsi="Courier New" w:cs="Courier New"/>
      <w:sz w:val="20"/>
      <w:szCs w:val="20"/>
      <w:lang w:eastAsia="fr-FR"/>
    </w:rPr>
  </w:style>
  <w:style w:type="character" w:customStyle="1" w:styleId="PrformatHTMLCar">
    <w:name w:val="Préformaté HTML Car"/>
    <w:basedOn w:val="Policepardfaut"/>
    <w:link w:val="PrformatHTML"/>
    <w:rsid w:val="008C7F3C"/>
    <w:rPr>
      <w:rFonts w:ascii="Courier New" w:eastAsia="MS Mincho" w:hAnsi="Courier New" w:cs="Courier New"/>
      <w:sz w:val="20"/>
      <w:szCs w:val="20"/>
      <w:lang w:eastAsia="fr-FR"/>
    </w:rPr>
  </w:style>
  <w:style w:type="paragraph" w:styleId="Sansinterligne">
    <w:name w:val="No Spacing"/>
    <w:uiPriority w:val="1"/>
    <w:qFormat/>
    <w:rsid w:val="008C7F3C"/>
    <w:pPr>
      <w:spacing w:after="0" w:line="240" w:lineRule="auto"/>
      <w:jc w:val="both"/>
    </w:pPr>
    <w:rPr>
      <w:rFonts w:ascii="Arial" w:eastAsia="MS Mincho" w:hAnsi="Arial" w:cs="Times New Roman"/>
      <w:sz w:val="20"/>
      <w:szCs w:val="20"/>
      <w:lang w:eastAsia="fr-FR"/>
    </w:rPr>
  </w:style>
  <w:style w:type="paragraph" w:styleId="Signaturelectronique">
    <w:name w:val="E-mail Signature"/>
    <w:basedOn w:val="Normal"/>
    <w:link w:val="SignaturelectroniqueCar"/>
    <w:rsid w:val="008C7F3C"/>
    <w:pPr>
      <w:spacing w:after="240" w:line="230" w:lineRule="atLeast"/>
      <w:jc w:val="both"/>
    </w:pPr>
    <w:rPr>
      <w:rFonts w:ascii="Arial" w:eastAsia="MS Mincho" w:hAnsi="Arial" w:cs="Times New Roman"/>
      <w:sz w:val="20"/>
      <w:szCs w:val="20"/>
      <w:lang w:eastAsia="fr-FR"/>
    </w:rPr>
  </w:style>
  <w:style w:type="character" w:customStyle="1" w:styleId="SignaturelectroniqueCar">
    <w:name w:val="Signature électronique Car"/>
    <w:basedOn w:val="Policepardfaut"/>
    <w:link w:val="Signaturelectronique"/>
    <w:rsid w:val="008C7F3C"/>
    <w:rPr>
      <w:rFonts w:ascii="Arial" w:eastAsia="MS Mincho" w:hAnsi="Arial" w:cs="Times New Roman"/>
      <w:sz w:val="20"/>
      <w:szCs w:val="20"/>
      <w:lang w:eastAsia="fr-FR"/>
    </w:rPr>
  </w:style>
  <w:style w:type="table" w:styleId="Tableauclassique1">
    <w:name w:val="Table Classic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8C7F3C"/>
    <w:pPr>
      <w:spacing w:after="240" w:line="230" w:lineRule="atLeast"/>
      <w:jc w:val="both"/>
    </w:pPr>
    <w:rPr>
      <w:rFonts w:ascii="Times New Roman" w:eastAsia="Times New Roman" w:hAnsi="Times New Roman" w:cs="Times New Roman"/>
      <w:color w:val="000080"/>
      <w:sz w:val="20"/>
      <w:szCs w:val="20"/>
      <w:lang w:val="fr-CA" w:eastAsia="fr-CA"/>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8C7F3C"/>
    <w:pPr>
      <w:spacing w:after="240" w:line="230" w:lineRule="atLeast"/>
      <w:jc w:val="both"/>
    </w:pPr>
    <w:rPr>
      <w:rFonts w:ascii="Times New Roman" w:eastAsia="Times New Roman" w:hAnsi="Times New Roman" w:cs="Times New Roman"/>
      <w:color w:val="FFFFFF"/>
      <w:sz w:val="20"/>
      <w:szCs w:val="20"/>
      <w:lang w:val="fr-CA" w:eastAsia="fr-CA"/>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contemporain">
    <w:name w:val="Table Contemporary"/>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liste1">
    <w:name w:val="Table List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le1">
    <w:name w:val="Table Subtle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rofessionnel">
    <w:name w:val="Table Professional"/>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hmedutableau">
    <w:name w:val="Table Theme"/>
    <w:basedOn w:val="TableauNormal"/>
    <w:rsid w:val="008C7F3C"/>
    <w:pPr>
      <w:spacing w:after="240" w:line="230" w:lineRule="atLeast"/>
      <w:jc w:val="both"/>
    </w:pPr>
    <w:rPr>
      <w:rFonts w:ascii="Times New Roman" w:eastAsia="Times New Roman" w:hAnsi="Times New Roman" w:cs="Times New Roman"/>
      <w:sz w:val="20"/>
      <w:szCs w:val="20"/>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rameclaire-Accent1">
    <w:name w:val="Light Shading Accent 1"/>
    <w:basedOn w:val="TableauNormal"/>
    <w:uiPriority w:val="60"/>
    <w:rsid w:val="008C7F3C"/>
    <w:pPr>
      <w:spacing w:after="0" w:line="240" w:lineRule="auto"/>
    </w:pPr>
    <w:rPr>
      <w:rFonts w:ascii="Times New Roman" w:eastAsia="Times New Roman" w:hAnsi="Times New Roman" w:cs="Times New Roman"/>
      <w:color w:val="365F91"/>
      <w:sz w:val="20"/>
      <w:szCs w:val="20"/>
      <w:lang w:val="fr-CA" w:eastAsia="fr-C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8C7F3C"/>
    <w:pPr>
      <w:spacing w:after="0" w:line="240" w:lineRule="auto"/>
    </w:pPr>
    <w:rPr>
      <w:rFonts w:ascii="Times New Roman" w:eastAsia="Times New Roman" w:hAnsi="Times New Roman" w:cs="Times New Roman"/>
      <w:color w:val="943634"/>
      <w:sz w:val="20"/>
      <w:szCs w:val="20"/>
      <w:lang w:val="fr-CA" w:eastAsia="fr-CA"/>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8C7F3C"/>
    <w:pPr>
      <w:spacing w:after="0" w:line="240" w:lineRule="auto"/>
    </w:pPr>
    <w:rPr>
      <w:rFonts w:ascii="Times New Roman" w:eastAsia="Times New Roman" w:hAnsi="Times New Roman" w:cs="Times New Roman"/>
      <w:color w:val="76923C"/>
      <w:sz w:val="20"/>
      <w:szCs w:val="20"/>
      <w:lang w:val="fr-CA" w:eastAsia="fr-CA"/>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8C7F3C"/>
    <w:pPr>
      <w:spacing w:after="0" w:line="240" w:lineRule="auto"/>
    </w:pPr>
    <w:rPr>
      <w:rFonts w:ascii="Times New Roman" w:eastAsia="Times New Roman" w:hAnsi="Times New Roman" w:cs="Times New Roman"/>
      <w:color w:val="5F497A"/>
      <w:sz w:val="20"/>
      <w:szCs w:val="20"/>
      <w:lang w:val="fr-CA" w:eastAsia="fr-C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8C7F3C"/>
    <w:pPr>
      <w:spacing w:after="0" w:line="240" w:lineRule="auto"/>
    </w:pPr>
    <w:rPr>
      <w:rFonts w:ascii="Times New Roman" w:eastAsia="Times New Roman" w:hAnsi="Times New Roman" w:cs="Times New Roman"/>
      <w:color w:val="31849B"/>
      <w:sz w:val="20"/>
      <w:szCs w:val="20"/>
      <w:lang w:val="fr-CA" w:eastAsia="fr-CA"/>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8C7F3C"/>
    <w:pPr>
      <w:spacing w:after="0" w:line="240" w:lineRule="auto"/>
    </w:pPr>
    <w:rPr>
      <w:rFonts w:ascii="Times New Roman" w:eastAsia="Times New Roman" w:hAnsi="Times New Roman" w:cs="Times New Roman"/>
      <w:color w:val="E36C0A"/>
      <w:sz w:val="20"/>
      <w:szCs w:val="20"/>
      <w:lang w:val="fr-CA" w:eastAsia="fr-C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Tramecouleur">
    <w:name w:val="Colorful Shading"/>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5">
    <w:name w:val="Colorful Shading Accent 5"/>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Tramecouleur-Accent4">
    <w:name w:val="Colorful Shading Accent 4"/>
    <w:basedOn w:val="TableauNormal"/>
    <w:uiPriority w:val="71"/>
    <w:rsid w:val="008C7F3C"/>
    <w:pPr>
      <w:spacing w:after="0" w:line="240" w:lineRule="auto"/>
    </w:pPr>
    <w:rPr>
      <w:rFonts w:ascii="Times New Roman" w:eastAsia="Times New Roman" w:hAnsi="Times New Roman" w:cs="Times New Roman"/>
      <w:color w:val="000000"/>
      <w:sz w:val="20"/>
      <w:szCs w:val="20"/>
      <w:lang w:val="fr-CA" w:eastAsia="fr-CA"/>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moyenne1">
    <w:name w:val="Medium Shading 1"/>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8C7F3C"/>
    <w:pPr>
      <w:spacing w:after="0" w:line="240" w:lineRule="auto"/>
    </w:pPr>
    <w:rPr>
      <w:rFonts w:ascii="Times New Roman" w:eastAsia="Times New Roman" w:hAnsi="Times New Roman" w:cs="Times New Roman"/>
      <w:sz w:val="20"/>
      <w:szCs w:val="20"/>
      <w:lang w:val="fr-CA" w:eastAsia="fr-C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tile1">
    <w:name w:val="Stile1"/>
    <w:uiPriority w:val="99"/>
    <w:rsid w:val="008C7F3C"/>
    <w:pPr>
      <w:numPr>
        <w:numId w:val="26"/>
      </w:numPr>
    </w:pPr>
  </w:style>
  <w:style w:type="paragraph" w:customStyle="1" w:styleId="Bibliografia1">
    <w:name w:val="Bibliografia1"/>
    <w:basedOn w:val="Normal"/>
    <w:rsid w:val="008C7F3C"/>
    <w:pPr>
      <w:tabs>
        <w:tab w:val="left" w:pos="660"/>
      </w:tabs>
      <w:spacing w:after="240" w:line="230" w:lineRule="atLeast"/>
      <w:ind w:left="660" w:hanging="660"/>
      <w:jc w:val="both"/>
    </w:pPr>
    <w:rPr>
      <w:rFonts w:ascii="Arial" w:eastAsia="MS Mincho" w:hAnsi="Arial" w:cs="Times New Roman"/>
      <w:sz w:val="20"/>
      <w:szCs w:val="20"/>
      <w:lang w:eastAsia="ja-JP"/>
    </w:rPr>
  </w:style>
  <w:style w:type="paragraph" w:styleId="Rvision">
    <w:name w:val="Revision"/>
    <w:hidden/>
    <w:uiPriority w:val="99"/>
    <w:semiHidden/>
    <w:rsid w:val="00610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68135">
      <w:bodyDiv w:val="1"/>
      <w:marLeft w:val="0"/>
      <w:marRight w:val="0"/>
      <w:marTop w:val="0"/>
      <w:marBottom w:val="0"/>
      <w:divBdr>
        <w:top w:val="none" w:sz="0" w:space="0" w:color="auto"/>
        <w:left w:val="none" w:sz="0" w:space="0" w:color="auto"/>
        <w:bottom w:val="none" w:sz="0" w:space="0" w:color="auto"/>
        <w:right w:val="none" w:sz="0" w:space="0" w:color="auto"/>
      </w:divBdr>
    </w:div>
    <w:div w:id="920140831">
      <w:bodyDiv w:val="1"/>
      <w:marLeft w:val="0"/>
      <w:marRight w:val="0"/>
      <w:marTop w:val="0"/>
      <w:marBottom w:val="0"/>
      <w:divBdr>
        <w:top w:val="none" w:sz="0" w:space="0" w:color="auto"/>
        <w:left w:val="none" w:sz="0" w:space="0" w:color="auto"/>
        <w:bottom w:val="none" w:sz="0" w:space="0" w:color="auto"/>
        <w:right w:val="none" w:sz="0" w:space="0" w:color="auto"/>
      </w:divBdr>
    </w:div>
    <w:div w:id="130215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javascript:InfoOpener(1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javascript:InfoOpener(117)"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1DB62-CBD9-437F-BCE7-D3888BB1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99</Pages>
  <Words>29262</Words>
  <Characters>160947</Characters>
  <Application>Microsoft Office Word</Application>
  <DocSecurity>0</DocSecurity>
  <Lines>1341</Lines>
  <Paragraphs>379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189830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YAKORO</dc:creator>
  <cp:lastModifiedBy>DLSE</cp:lastModifiedBy>
  <cp:revision>97</cp:revision>
  <cp:lastPrinted>2017-01-25T14:18:00Z</cp:lastPrinted>
  <dcterms:created xsi:type="dcterms:W3CDTF">2016-12-23T09:45:00Z</dcterms:created>
  <dcterms:modified xsi:type="dcterms:W3CDTF">2018-01-30T08:13:00Z</dcterms:modified>
</cp:coreProperties>
</file>